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</w:p>
    <w:p w:rsidR="00257678" w:rsidRPr="00E5542A" w:rsidRDefault="00257678" w:rsidP="00257678">
      <w:pPr>
        <w:pStyle w:val="Nzev"/>
        <w:keepNext/>
        <w:jc w:val="left"/>
        <w:rPr>
          <w:b w:val="0"/>
          <w:smallCaps w:val="0"/>
          <w:sz w:val="24"/>
          <w:szCs w:val="24"/>
        </w:rPr>
      </w:pPr>
    </w:p>
    <w:p w:rsidR="007E2ACA" w:rsidRPr="00E5542A" w:rsidRDefault="00311656">
      <w:r w:rsidRPr="00E5542A">
        <w:t xml:space="preserve"> </w:t>
      </w:r>
      <w:r w:rsidR="00925FE4">
        <w:t>Příloha č. 2</w:t>
      </w:r>
      <w:bookmarkStart w:id="0" w:name="_GoBack"/>
      <w:bookmarkEnd w:id="0"/>
      <w:r w:rsidR="00832E79">
        <w:t xml:space="preserve"> k </w:t>
      </w:r>
      <w:proofErr w:type="gramStart"/>
      <w:r w:rsidR="00832E79">
        <w:t>Č.j.</w:t>
      </w:r>
      <w:proofErr w:type="gramEnd"/>
      <w:r w:rsidR="00832E79">
        <w:t xml:space="preserve"> 1/120/782738-2017</w:t>
      </w:r>
    </w:p>
    <w:p w:rsidR="00DA6C1F" w:rsidRPr="00E5542A" w:rsidRDefault="00DA6C1F"/>
    <w:p w:rsidR="00DA6C1F" w:rsidRPr="00E5542A" w:rsidRDefault="00DA6C1F"/>
    <w:p w:rsidR="00E616C7" w:rsidRPr="00E5542A" w:rsidRDefault="00E616C7" w:rsidP="00E616C7"/>
    <w:p w:rsidR="00257678" w:rsidRPr="00E5542A" w:rsidRDefault="00257678" w:rsidP="00257678">
      <w:pPr>
        <w:keepNext/>
        <w:tabs>
          <w:tab w:val="left" w:pos="284"/>
        </w:tabs>
        <w:rPr>
          <w:b/>
        </w:rPr>
      </w:pPr>
      <w:r w:rsidRPr="00E5542A">
        <w:rPr>
          <w:b/>
        </w:rPr>
        <w:t>Vojenská zdravotní pojišťovna České republiky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se sídlem: </w:t>
      </w:r>
      <w:r w:rsidRPr="00E5542A">
        <w:tab/>
      </w:r>
      <w:r w:rsidRPr="00E5542A">
        <w:tab/>
      </w:r>
      <w:r w:rsidRPr="00E5542A">
        <w:tab/>
        <w:t>Praha 9, Drahobejlova 1404/4, PSČ: 190 03</w:t>
      </w:r>
      <w:r w:rsidRPr="00E5542A">
        <w:tab/>
      </w:r>
    </w:p>
    <w:p w:rsidR="00257678" w:rsidRPr="00A228B3" w:rsidRDefault="00257678" w:rsidP="00A228B3">
      <w:r w:rsidRPr="00E5542A">
        <w:t>z</w:t>
      </w:r>
      <w:r w:rsidR="00A228B3">
        <w:t xml:space="preserve">astoupena: </w:t>
      </w:r>
      <w:r w:rsidR="00A228B3">
        <w:tab/>
      </w:r>
      <w:r w:rsidR="00A228B3">
        <w:tab/>
      </w:r>
      <w:r w:rsidR="00A228B3">
        <w:tab/>
        <w:t>Ing.</w:t>
      </w:r>
      <w:r w:rsidR="00A228B3">
        <w:rPr>
          <w:rFonts w:asciiTheme="minorHAnsi" w:hAnsiTheme="minorHAnsi" w:cstheme="minorHAnsi"/>
        </w:rPr>
        <w:t xml:space="preserve"> </w:t>
      </w:r>
      <w:r w:rsidR="00A228B3" w:rsidRPr="00A228B3">
        <w:t xml:space="preserve">Josef </w:t>
      </w:r>
      <w:proofErr w:type="spellStart"/>
      <w:r w:rsidR="00A228B3" w:rsidRPr="00A228B3">
        <w:t>Diessl</w:t>
      </w:r>
      <w:proofErr w:type="spellEnd"/>
      <w:r w:rsidR="00A228B3" w:rsidRPr="00A228B3">
        <w:t>, generální ředitel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IČO: </w:t>
      </w:r>
      <w:r w:rsidRPr="00E5542A">
        <w:tab/>
      </w:r>
      <w:r w:rsidRPr="00E5542A">
        <w:tab/>
      </w:r>
      <w:r w:rsidRPr="00E5542A">
        <w:tab/>
      </w:r>
      <w:r w:rsidRPr="00E5542A">
        <w:tab/>
        <w:t>47114975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>bankovní spojení:</w:t>
      </w:r>
      <w:r w:rsidRPr="00E5542A">
        <w:tab/>
      </w:r>
      <w:r w:rsidRPr="00E5542A">
        <w:tab/>
        <w:t>ČNB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číslo účtu: </w:t>
      </w:r>
      <w:r w:rsidRPr="00E5542A">
        <w:tab/>
      </w:r>
      <w:r w:rsidRPr="00E5542A">
        <w:tab/>
      </w:r>
      <w:r w:rsidRPr="00E5542A">
        <w:tab/>
        <w:t>2011300091/0710</w:t>
      </w:r>
    </w:p>
    <w:p w:rsidR="00257678" w:rsidRPr="00E5542A" w:rsidRDefault="00257678" w:rsidP="00257678">
      <w:pPr>
        <w:keepNext/>
        <w:tabs>
          <w:tab w:val="left" w:pos="284"/>
        </w:tabs>
      </w:pPr>
      <w:r w:rsidRPr="00E5542A">
        <w:t xml:space="preserve">zapsaná v obchodním rejstříku vedeném Městským soudem v Praze, v oddíle A, vložce 7564 </w:t>
      </w: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„objednatel")</w:t>
      </w: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</w:pPr>
      <w:r w:rsidRPr="00E5542A">
        <w:t>a</w:t>
      </w:r>
    </w:p>
    <w:p w:rsidR="00527F60" w:rsidRPr="00527F60" w:rsidRDefault="00527F60" w:rsidP="00527F60">
      <w:pPr>
        <w:ind w:firstLine="18"/>
      </w:pPr>
      <w:r w:rsidRPr="00527F60">
        <w:t>………………..  /náze</w:t>
      </w:r>
      <w:r w:rsidR="0013098B">
        <w:t>v, právní forma -  doplní dodava</w:t>
      </w:r>
      <w:r w:rsidRPr="00527F60">
        <w:t xml:space="preserve">tel/ </w:t>
      </w:r>
    </w:p>
    <w:p w:rsidR="00527F60" w:rsidRPr="00527F60" w:rsidRDefault="00527F60" w:rsidP="00527F60">
      <w:r w:rsidRPr="00527F60">
        <w:t>IČO:</w:t>
      </w:r>
    </w:p>
    <w:p w:rsidR="00527F60" w:rsidRPr="00527F60" w:rsidRDefault="00527F60" w:rsidP="00527F60">
      <w:pPr>
        <w:ind w:firstLine="18"/>
      </w:pPr>
      <w:r w:rsidRPr="00527F60">
        <w:t xml:space="preserve">se sídlem: </w:t>
      </w:r>
    </w:p>
    <w:p w:rsidR="00527F60" w:rsidRPr="00527F60" w:rsidRDefault="00527F60" w:rsidP="00527F60">
      <w:r w:rsidRPr="00527F60">
        <w:t>jejímž jménem jedná:</w:t>
      </w:r>
    </w:p>
    <w:p w:rsidR="00527F60" w:rsidRPr="00527F60" w:rsidRDefault="00527F60" w:rsidP="00527F60">
      <w:r w:rsidRPr="00527F60">
        <w:t xml:space="preserve">bankovní spojení: </w:t>
      </w:r>
    </w:p>
    <w:p w:rsidR="00527F60" w:rsidRPr="00527F60" w:rsidRDefault="00527F60" w:rsidP="00527F60">
      <w:r w:rsidRPr="00527F60">
        <w:t xml:space="preserve">číslo účtu: </w:t>
      </w:r>
    </w:p>
    <w:p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zapsaná v obchodním rejstříku vedeném ............. , </w:t>
      </w:r>
      <w:proofErr w:type="gramStart"/>
      <w:r w:rsidRPr="00527F60">
        <w:rPr>
          <w:rFonts w:ascii="Times New Roman" w:hAnsi="Times New Roman"/>
          <w:sz w:val="24"/>
          <w:szCs w:val="24"/>
          <w:lang w:val="cs-CZ" w:eastAsia="cs-CZ"/>
        </w:rPr>
        <w:t>oddíl    , vložka</w:t>
      </w:r>
      <w:proofErr w:type="gramEnd"/>
      <w:r w:rsidRPr="00527F60">
        <w:rPr>
          <w:rFonts w:ascii="Times New Roman" w:hAnsi="Times New Roman"/>
          <w:sz w:val="24"/>
          <w:szCs w:val="24"/>
          <w:lang w:val="cs-CZ" w:eastAsia="cs-CZ"/>
        </w:rPr>
        <w:t xml:space="preserve"> č. </w:t>
      </w:r>
    </w:p>
    <w:p w:rsidR="00527F60" w:rsidRPr="00527F60" w:rsidRDefault="00527F60" w:rsidP="00527F60">
      <w:pPr>
        <w:pStyle w:val="Prosttext"/>
        <w:rPr>
          <w:rFonts w:ascii="Times New Roman" w:hAnsi="Times New Roman"/>
          <w:sz w:val="24"/>
          <w:szCs w:val="24"/>
          <w:lang w:val="cs-CZ" w:eastAsia="cs-CZ"/>
        </w:rPr>
      </w:pPr>
    </w:p>
    <w:p w:rsidR="00527F60" w:rsidRPr="00E5542A" w:rsidRDefault="00527F60" w:rsidP="00527F60">
      <w:pPr>
        <w:widowControl w:val="0"/>
        <w:autoSpaceDE w:val="0"/>
        <w:autoSpaceDN w:val="0"/>
        <w:adjustRightInd w:val="0"/>
        <w:jc w:val="both"/>
        <w:rPr>
          <w:b/>
        </w:rPr>
      </w:pPr>
      <w:r w:rsidRPr="00E5542A">
        <w:rPr>
          <w:b/>
        </w:rPr>
        <w:t>(dále jen „dodavatel")</w:t>
      </w:r>
    </w:p>
    <w:p w:rsidR="00527F60" w:rsidRPr="00527F60" w:rsidRDefault="00527F60" w:rsidP="00527F60">
      <w:r w:rsidRPr="00527F60">
        <w:t>na straně druhé</w:t>
      </w: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616C7" w:rsidRPr="00E5542A" w:rsidRDefault="00E616C7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27F60" w:rsidRPr="00FB5F11" w:rsidRDefault="00527F60" w:rsidP="00527F60">
      <w:pPr>
        <w:jc w:val="both"/>
      </w:pPr>
      <w:r w:rsidRPr="00FB5F11">
        <w:t xml:space="preserve">uzavřely níže uvedeného dne, měsíce a roku v souladu s </w:t>
      </w:r>
      <w:r w:rsidRPr="00B93E5D">
        <w:t xml:space="preserve">§ </w:t>
      </w:r>
      <w:r w:rsidR="008027C1">
        <w:t>1724</w:t>
      </w:r>
      <w:r w:rsidRPr="00B93E5D">
        <w:t xml:space="preserve"> a násl. </w:t>
      </w:r>
      <w:r w:rsidRPr="00FB5F11">
        <w:t>zákona č.</w:t>
      </w:r>
      <w:r>
        <w:t xml:space="preserve"> 89/2012</w:t>
      </w:r>
      <w:r w:rsidRPr="00FB5F11">
        <w:t xml:space="preserve"> Sb., ob</w:t>
      </w:r>
      <w:r>
        <w:t>čanský</w:t>
      </w:r>
      <w:r w:rsidRPr="00FB5F11">
        <w:t xml:space="preserve"> zákoník, ve znění pozdějších předpisů (dále jen „ob</w:t>
      </w:r>
      <w:r>
        <w:t>čanský</w:t>
      </w:r>
      <w:r w:rsidRPr="00FB5F11">
        <w:t xml:space="preserve"> zákoník“), a za podmínek dále uvedených tuto</w:t>
      </w:r>
    </w:p>
    <w:p w:rsidR="00907514" w:rsidRPr="00E5542A" w:rsidRDefault="00907514" w:rsidP="00E616C7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907514" w:rsidRPr="00E5542A" w:rsidRDefault="00527F60" w:rsidP="00527F6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smlouvu</w:t>
      </w:r>
    </w:p>
    <w:p w:rsidR="00907514" w:rsidRPr="00E5542A" w:rsidRDefault="00B32BAF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na dodávku služeb ochrany přístupu do sítě internet pro </w:t>
      </w:r>
      <w:proofErr w:type="spellStart"/>
      <w:r>
        <w:rPr>
          <w:b/>
        </w:rPr>
        <w:t>VoZP</w:t>
      </w:r>
      <w:proofErr w:type="spellEnd"/>
      <w:r>
        <w:rPr>
          <w:b/>
        </w:rPr>
        <w:t xml:space="preserve"> ČR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 xml:space="preserve">I. </w:t>
      </w:r>
    </w:p>
    <w:p w:rsidR="00907514" w:rsidRPr="00E5542A" w:rsidRDefault="00F2757B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Předmět smlouvy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F2757B" w:rsidRPr="00E43209" w:rsidRDefault="00907514" w:rsidP="00F2757B">
      <w:pPr>
        <w:pStyle w:val="Odstavec"/>
        <w:keepNext w:val="0"/>
        <w:ind w:left="0" w:firstLine="0"/>
        <w:rPr>
          <w:rFonts w:ascii="Times New Roman" w:hAnsi="Times New Roman"/>
          <w:sz w:val="24"/>
          <w:szCs w:val="24"/>
        </w:rPr>
      </w:pPr>
      <w:r w:rsidRPr="0013098B">
        <w:rPr>
          <w:rFonts w:ascii="Times New Roman" w:hAnsi="Times New Roman"/>
          <w:sz w:val="24"/>
          <w:szCs w:val="24"/>
        </w:rPr>
        <w:t xml:space="preserve">Předmětem smlouvy je </w:t>
      </w:r>
      <w:r w:rsidR="00F2757B" w:rsidRPr="00E43209">
        <w:rPr>
          <w:rFonts w:ascii="Times New Roman" w:hAnsi="Times New Roman"/>
          <w:sz w:val="24"/>
          <w:szCs w:val="24"/>
        </w:rPr>
        <w:t xml:space="preserve">zajištění správy bezpečnostního řešení a bezpečnostních pravidel komunikační infrastruktury </w:t>
      </w:r>
      <w:r w:rsidR="00F2757B" w:rsidRPr="00711590">
        <w:rPr>
          <w:rFonts w:ascii="Times New Roman" w:hAnsi="Times New Roman"/>
          <w:sz w:val="24"/>
          <w:szCs w:val="24"/>
        </w:rPr>
        <w:t>Zadavatel</w:t>
      </w:r>
      <w:r w:rsidR="00F2757B">
        <w:rPr>
          <w:rFonts w:ascii="Times New Roman" w:hAnsi="Times New Roman"/>
          <w:sz w:val="24"/>
          <w:szCs w:val="24"/>
        </w:rPr>
        <w:t>e</w:t>
      </w:r>
      <w:r w:rsidR="00F2757B" w:rsidRPr="00E43209">
        <w:rPr>
          <w:rFonts w:ascii="Times New Roman" w:hAnsi="Times New Roman"/>
          <w:sz w:val="24"/>
          <w:szCs w:val="24"/>
        </w:rPr>
        <w:t xml:space="preserve"> pro přístup do sítě Internet.</w:t>
      </w:r>
    </w:p>
    <w:p w:rsidR="00F2757B" w:rsidRPr="00E43209" w:rsidRDefault="00F2757B" w:rsidP="00F2757B">
      <w:pPr>
        <w:pStyle w:val="Odstavec"/>
        <w:keepNext w:val="0"/>
        <w:ind w:left="0" w:firstLine="0"/>
        <w:rPr>
          <w:rFonts w:ascii="Times New Roman" w:hAnsi="Times New Roman"/>
          <w:sz w:val="24"/>
          <w:szCs w:val="24"/>
        </w:rPr>
      </w:pPr>
      <w:r w:rsidRPr="00711590">
        <w:rPr>
          <w:rFonts w:ascii="Times New Roman" w:hAnsi="Times New Roman"/>
          <w:sz w:val="24"/>
          <w:szCs w:val="24"/>
        </w:rPr>
        <w:t>Zadavatel</w:t>
      </w:r>
      <w:r w:rsidRPr="00E43209">
        <w:rPr>
          <w:rFonts w:ascii="Times New Roman" w:hAnsi="Times New Roman"/>
          <w:sz w:val="24"/>
          <w:szCs w:val="24"/>
        </w:rPr>
        <w:t xml:space="preserve"> požaduje zajistit správu Firewallu s cílem zabezpečit přístup do Internetu na úrovni uživatelů, aplikací a konkrétního obsahu. </w:t>
      </w:r>
    </w:p>
    <w:p w:rsidR="00F2757B" w:rsidRPr="00E43209" w:rsidRDefault="00F2757B" w:rsidP="00F2757B">
      <w:pPr>
        <w:pStyle w:val="Odstavec"/>
        <w:keepNext w:val="0"/>
        <w:ind w:left="0" w:firstLine="0"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 xml:space="preserve">Součástí služeb </w:t>
      </w:r>
      <w:r>
        <w:rPr>
          <w:rFonts w:ascii="Times New Roman" w:hAnsi="Times New Roman"/>
          <w:sz w:val="24"/>
          <w:szCs w:val="24"/>
        </w:rPr>
        <w:t>P</w:t>
      </w:r>
      <w:r w:rsidRPr="00E43209">
        <w:rPr>
          <w:rFonts w:ascii="Times New Roman" w:hAnsi="Times New Roman"/>
          <w:sz w:val="24"/>
          <w:szCs w:val="24"/>
        </w:rPr>
        <w:t xml:space="preserve">oskytovatele jsou návrhy a doporučení technicko- organizačního nastavení a pořízení potřebného HW a SW vybavení. </w:t>
      </w:r>
    </w:p>
    <w:p w:rsidR="00F2757B" w:rsidRPr="005D3B75" w:rsidRDefault="00F2757B" w:rsidP="00F2757B">
      <w:pPr>
        <w:jc w:val="both"/>
      </w:pPr>
      <w:r>
        <w:t xml:space="preserve">Typ použitého zařízení: </w:t>
      </w:r>
      <w:r w:rsidRPr="00D85631">
        <w:t xml:space="preserve">ASA5515-K9 (licence HA </w:t>
      </w:r>
      <w:proofErr w:type="spellStart"/>
      <w:r w:rsidRPr="00D85631">
        <w:t>active</w:t>
      </w:r>
      <w:proofErr w:type="spellEnd"/>
      <w:r w:rsidRPr="00D85631">
        <w:t>/</w:t>
      </w:r>
      <w:proofErr w:type="spellStart"/>
      <w:r w:rsidRPr="00D85631">
        <w:t>standby</w:t>
      </w:r>
      <w:proofErr w:type="spellEnd"/>
      <w:r w:rsidRPr="00D85631">
        <w:t>) – 2 ks</w:t>
      </w:r>
      <w:r>
        <w:t xml:space="preserve"> kde je </w:t>
      </w:r>
      <w:r w:rsidRPr="005D3B75">
        <w:t xml:space="preserve">zajištěna podpora výrobce v místě instalace po dobu </w:t>
      </w:r>
      <w:r>
        <w:t>24</w:t>
      </w:r>
      <w:r w:rsidRPr="005D3B75">
        <w:t xml:space="preserve"> měsíců </w:t>
      </w:r>
      <w:proofErr w:type="spellStart"/>
      <w:r w:rsidRPr="005D3B75">
        <w:t>SmartNet</w:t>
      </w:r>
      <w:proofErr w:type="spellEnd"/>
      <w:r w:rsidRPr="005D3B75">
        <w:t xml:space="preserve"> 8x5xNBD.</w:t>
      </w:r>
    </w:p>
    <w:p w:rsidR="00F2757B" w:rsidRDefault="00F2757B" w:rsidP="00F2757B">
      <w:pPr>
        <w:jc w:val="both"/>
      </w:pPr>
    </w:p>
    <w:p w:rsidR="00F2757B" w:rsidRPr="0013098B" w:rsidRDefault="00F2757B" w:rsidP="00F2757B">
      <w:pPr>
        <w:pStyle w:val="Nadpis3"/>
        <w:keepLines w:val="0"/>
        <w:numPr>
          <w:ilvl w:val="0"/>
          <w:numId w:val="13"/>
        </w:numPr>
        <w:spacing w:before="240" w:after="240"/>
        <w:rPr>
          <w:rFonts w:ascii="Times New Roman" w:hAnsi="Times New Roman"/>
          <w:b/>
          <w:color w:val="auto"/>
        </w:rPr>
      </w:pPr>
      <w:r w:rsidRPr="0013098B">
        <w:rPr>
          <w:rFonts w:ascii="Times New Roman" w:hAnsi="Times New Roman"/>
          <w:b/>
          <w:color w:val="auto"/>
        </w:rPr>
        <w:lastRenderedPageBreak/>
        <w:t>Správa bezpečnostních pravidel</w:t>
      </w:r>
    </w:p>
    <w:p w:rsidR="00F2757B" w:rsidRPr="00E43209" w:rsidRDefault="00F2757B" w:rsidP="00F2757B">
      <w:pPr>
        <w:numPr>
          <w:ilvl w:val="0"/>
          <w:numId w:val="12"/>
        </w:numPr>
        <w:spacing w:after="120"/>
        <w:ind w:hanging="357"/>
        <w:contextualSpacing/>
      </w:pPr>
      <w:r w:rsidRPr="00E43209">
        <w:t>správa bezpečnostních pravidel</w:t>
      </w:r>
    </w:p>
    <w:p w:rsidR="00F2757B" w:rsidRPr="00E43209" w:rsidRDefault="00F2757B" w:rsidP="00F2757B">
      <w:pPr>
        <w:numPr>
          <w:ilvl w:val="1"/>
          <w:numId w:val="12"/>
        </w:numPr>
        <w:spacing w:after="120"/>
        <w:ind w:hanging="357"/>
        <w:contextualSpacing/>
      </w:pPr>
      <w:r w:rsidRPr="00E43209">
        <w:t>zpracování bezpečnostní politiky do nastavení firewallu</w:t>
      </w:r>
    </w:p>
    <w:p w:rsidR="00F2757B" w:rsidRPr="00E43209" w:rsidRDefault="00F2757B" w:rsidP="00F2757B">
      <w:pPr>
        <w:numPr>
          <w:ilvl w:val="1"/>
          <w:numId w:val="12"/>
        </w:numPr>
        <w:spacing w:after="120"/>
        <w:ind w:hanging="357"/>
        <w:contextualSpacing/>
      </w:pPr>
      <w:r w:rsidRPr="00E43209">
        <w:t>provedení konfigurace</w:t>
      </w:r>
    </w:p>
    <w:p w:rsidR="00F2757B" w:rsidRPr="00E43209" w:rsidRDefault="00F2757B" w:rsidP="00F2757B">
      <w:pPr>
        <w:numPr>
          <w:ilvl w:val="1"/>
          <w:numId w:val="12"/>
        </w:numPr>
        <w:spacing w:after="120"/>
        <w:ind w:hanging="357"/>
        <w:contextualSpacing/>
      </w:pPr>
      <w:r w:rsidRPr="00E43209">
        <w:t>pravidelná kontrola funkčnosti</w:t>
      </w:r>
    </w:p>
    <w:p w:rsidR="00F2757B" w:rsidRPr="00E43209" w:rsidRDefault="00F2757B" w:rsidP="00F2757B">
      <w:pPr>
        <w:numPr>
          <w:ilvl w:val="0"/>
          <w:numId w:val="12"/>
        </w:numPr>
        <w:spacing w:after="120"/>
        <w:ind w:hanging="357"/>
        <w:contextualSpacing/>
      </w:pPr>
      <w:r w:rsidRPr="00E43209">
        <w:t xml:space="preserve">návrhy řešení bezpečnostní politiky </w:t>
      </w:r>
      <w:r>
        <w:t>Zadavatele</w:t>
      </w:r>
      <w:r w:rsidRPr="00E43209">
        <w:t xml:space="preserve"> dle potřeb komunikace a ukládání dokumentů</w:t>
      </w:r>
    </w:p>
    <w:p w:rsidR="00F2757B" w:rsidRPr="00E43209" w:rsidRDefault="00F2757B" w:rsidP="00F2757B">
      <w:pPr>
        <w:numPr>
          <w:ilvl w:val="0"/>
          <w:numId w:val="12"/>
        </w:numPr>
        <w:spacing w:after="120"/>
        <w:ind w:hanging="357"/>
        <w:contextualSpacing/>
      </w:pPr>
      <w:r w:rsidRPr="00E43209">
        <w:t xml:space="preserve">správa bezpečnostní politiky </w:t>
      </w:r>
      <w:r>
        <w:t>Zadavatele</w:t>
      </w:r>
    </w:p>
    <w:p w:rsidR="00F2757B" w:rsidRPr="00E43209" w:rsidRDefault="00F2757B" w:rsidP="00F2757B">
      <w:pPr>
        <w:numPr>
          <w:ilvl w:val="0"/>
          <w:numId w:val="12"/>
        </w:numPr>
        <w:spacing w:after="120"/>
        <w:ind w:hanging="357"/>
        <w:contextualSpacing/>
      </w:pPr>
      <w:r w:rsidRPr="00E43209">
        <w:t xml:space="preserve">správa VPN přístupů pro pracovníky </w:t>
      </w:r>
      <w:r>
        <w:t>Zadavatele</w:t>
      </w:r>
    </w:p>
    <w:p w:rsidR="00F2757B" w:rsidRPr="00E43209" w:rsidRDefault="00F2757B" w:rsidP="00F2757B">
      <w:pPr>
        <w:numPr>
          <w:ilvl w:val="0"/>
          <w:numId w:val="12"/>
        </w:numPr>
        <w:spacing w:after="120"/>
        <w:ind w:hanging="357"/>
        <w:contextualSpacing/>
      </w:pPr>
      <w:r w:rsidRPr="00E43209">
        <w:t>řešení opatření při vzniku bezpečnostního incidentu</w:t>
      </w:r>
    </w:p>
    <w:p w:rsidR="00F2757B" w:rsidRPr="00E43209" w:rsidRDefault="00F2757B" w:rsidP="00F2757B">
      <w:pPr>
        <w:numPr>
          <w:ilvl w:val="0"/>
          <w:numId w:val="12"/>
        </w:numPr>
        <w:spacing w:after="120"/>
        <w:ind w:hanging="357"/>
        <w:contextualSpacing/>
      </w:pPr>
      <w:r w:rsidRPr="00E43209">
        <w:t>spolupráce se zodpovědným pracovníkem za správu síťového (LAN) prostředí</w:t>
      </w:r>
    </w:p>
    <w:p w:rsidR="00F2757B" w:rsidRPr="00E43209" w:rsidRDefault="00F2757B" w:rsidP="00F2757B">
      <w:pPr>
        <w:numPr>
          <w:ilvl w:val="0"/>
          <w:numId w:val="12"/>
        </w:numPr>
        <w:spacing w:after="120"/>
        <w:ind w:hanging="357"/>
        <w:contextualSpacing/>
      </w:pPr>
      <w:r w:rsidRPr="00E43209">
        <w:t>nastavení pravidel bezpečnosti chování v IT prostředí pro zaměstnance</w:t>
      </w:r>
      <w:r>
        <w:t xml:space="preserve"> dle interní dokumentace zadavatele.</w:t>
      </w:r>
    </w:p>
    <w:p w:rsidR="00F2757B" w:rsidRPr="00E43209" w:rsidRDefault="00F2757B" w:rsidP="00F2757B">
      <w:pPr>
        <w:spacing w:afterLines="120" w:after="288"/>
        <w:jc w:val="both"/>
      </w:pPr>
    </w:p>
    <w:p w:rsidR="00F2757B" w:rsidRPr="00F2757B" w:rsidRDefault="00F2757B" w:rsidP="00F2757B">
      <w:pPr>
        <w:pStyle w:val="Nadpis3"/>
        <w:keepLines w:val="0"/>
        <w:numPr>
          <w:ilvl w:val="0"/>
          <w:numId w:val="13"/>
        </w:numPr>
        <w:spacing w:before="240" w:after="240"/>
        <w:rPr>
          <w:rFonts w:ascii="Times New Roman" w:hAnsi="Times New Roman"/>
          <w:b/>
          <w:color w:val="auto"/>
        </w:rPr>
      </w:pPr>
      <w:r w:rsidRPr="00F2757B">
        <w:rPr>
          <w:rFonts w:ascii="Times New Roman" w:hAnsi="Times New Roman"/>
          <w:b/>
          <w:color w:val="auto"/>
        </w:rPr>
        <w:t>Administrace firewallů a VPN koncentrátoru</w:t>
      </w:r>
    </w:p>
    <w:p w:rsidR="00F2757B" w:rsidRPr="00F2757B" w:rsidRDefault="00F2757B" w:rsidP="00F2757B">
      <w:pPr>
        <w:pStyle w:val="Nadpis3"/>
        <w:keepLines w:val="0"/>
        <w:numPr>
          <w:ilvl w:val="1"/>
          <w:numId w:val="13"/>
        </w:numPr>
        <w:spacing w:before="240" w:after="240"/>
        <w:rPr>
          <w:rFonts w:ascii="Times New Roman" w:hAnsi="Times New Roman"/>
          <w:b/>
          <w:color w:val="auto"/>
        </w:rPr>
      </w:pPr>
      <w:r w:rsidRPr="00F2757B">
        <w:rPr>
          <w:rFonts w:ascii="Times New Roman" w:hAnsi="Times New Roman"/>
          <w:b/>
          <w:color w:val="auto"/>
        </w:rPr>
        <w:t>Administrace firewallů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1</w:t>
      </w:r>
      <w:r w:rsidRPr="00E43209">
        <w:rPr>
          <w:rFonts w:ascii="Times New Roman" w:hAnsi="Times New Roman"/>
          <w:sz w:val="24"/>
          <w:szCs w:val="24"/>
        </w:rPr>
        <w:tab/>
        <w:t>úprava konfigurace směrování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2</w:t>
      </w:r>
      <w:r w:rsidRPr="00E43209">
        <w:rPr>
          <w:rFonts w:ascii="Times New Roman" w:hAnsi="Times New Roman"/>
          <w:sz w:val="24"/>
          <w:szCs w:val="24"/>
        </w:rPr>
        <w:tab/>
        <w:t>definice pravidel pro překlady IP adres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3</w:t>
      </w:r>
      <w:r w:rsidRPr="00E43209">
        <w:rPr>
          <w:rFonts w:ascii="Times New Roman" w:hAnsi="Times New Roman"/>
          <w:sz w:val="24"/>
          <w:szCs w:val="24"/>
        </w:rPr>
        <w:tab/>
        <w:t>konfigurace obecných vlastností firewallu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4</w:t>
      </w:r>
      <w:r w:rsidRPr="00E43209">
        <w:rPr>
          <w:rFonts w:ascii="Times New Roman" w:hAnsi="Times New Roman"/>
          <w:sz w:val="24"/>
          <w:szCs w:val="24"/>
        </w:rPr>
        <w:tab/>
        <w:t xml:space="preserve">konfigurace servisních politik 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5</w:t>
      </w:r>
      <w:r w:rsidRPr="00E43209">
        <w:rPr>
          <w:rFonts w:ascii="Times New Roman" w:hAnsi="Times New Roman"/>
          <w:sz w:val="24"/>
          <w:szCs w:val="24"/>
        </w:rPr>
        <w:tab/>
        <w:t>monitoring správné činnosti firewallu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kontrola systémových logů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proaktivní monitoring zatížení procesorů firewallu a počtu aktivních spojení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 xml:space="preserve">kontrola stavu </w:t>
      </w:r>
      <w:proofErr w:type="spellStart"/>
      <w:r w:rsidRPr="00E43209">
        <w:rPr>
          <w:rFonts w:ascii="Times New Roman" w:hAnsi="Times New Roman"/>
          <w:sz w:val="24"/>
          <w:szCs w:val="24"/>
        </w:rPr>
        <w:t>site</w:t>
      </w:r>
      <w:proofErr w:type="spellEnd"/>
      <w:r w:rsidRPr="00E43209">
        <w:rPr>
          <w:rFonts w:ascii="Times New Roman" w:hAnsi="Times New Roman"/>
          <w:sz w:val="24"/>
          <w:szCs w:val="24"/>
        </w:rPr>
        <w:t>-to-</w:t>
      </w:r>
      <w:proofErr w:type="spellStart"/>
      <w:r w:rsidRPr="00E43209">
        <w:rPr>
          <w:rFonts w:ascii="Times New Roman" w:hAnsi="Times New Roman"/>
          <w:sz w:val="24"/>
          <w:szCs w:val="24"/>
        </w:rPr>
        <w:t>site</w:t>
      </w:r>
      <w:proofErr w:type="spellEnd"/>
      <w:r w:rsidRPr="00E43209">
        <w:rPr>
          <w:rFonts w:ascii="Times New Roman" w:hAnsi="Times New Roman"/>
          <w:sz w:val="24"/>
          <w:szCs w:val="24"/>
        </w:rPr>
        <w:t xml:space="preserve"> VPN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vyhodnocování provozních statistik firewallu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6</w:t>
      </w:r>
      <w:r w:rsidRPr="00E43209">
        <w:rPr>
          <w:rFonts w:ascii="Times New Roman" w:hAnsi="Times New Roman"/>
          <w:sz w:val="24"/>
          <w:szCs w:val="24"/>
        </w:rPr>
        <w:tab/>
        <w:t>pravidelné zálohování konfigurací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7</w:t>
      </w:r>
      <w:r w:rsidRPr="00E43209">
        <w:rPr>
          <w:rFonts w:ascii="Times New Roman" w:hAnsi="Times New Roman"/>
          <w:sz w:val="24"/>
          <w:szCs w:val="24"/>
        </w:rPr>
        <w:tab/>
        <w:t>vytváření logických rozhraní pro jednotlivé VLAN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konfigurace IP parametrů rozhraní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definice základní bezpečnostní úrovně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8</w:t>
      </w:r>
      <w:r w:rsidRPr="00E43209">
        <w:rPr>
          <w:rFonts w:ascii="Times New Roman" w:hAnsi="Times New Roman"/>
          <w:sz w:val="24"/>
          <w:szCs w:val="24"/>
        </w:rPr>
        <w:tab/>
        <w:t>rušení nepoužívaných rozhraní pro jednotlivé VLAN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FW 9</w:t>
      </w:r>
      <w:r w:rsidRPr="00E43209">
        <w:rPr>
          <w:rFonts w:ascii="Times New Roman" w:hAnsi="Times New Roman"/>
          <w:sz w:val="24"/>
          <w:szCs w:val="24"/>
        </w:rPr>
        <w:tab/>
        <w:t>úprava parametrů logických rozhraní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 xml:space="preserve">konfigurace bezpečnostních pravidel na logickém rozhraní 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ab/>
        <w:t>přidání bezpečnostního pravidla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ab/>
        <w:t>odebrání bezpečnostního pravidla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ab/>
        <w:t>úprava bezpečnostního pravidla</w:t>
      </w:r>
    </w:p>
    <w:p w:rsidR="00F2757B" w:rsidRPr="00E43209" w:rsidRDefault="00F2757B" w:rsidP="00F2757B">
      <w:pPr>
        <w:pStyle w:val="Odstavec"/>
        <w:keepNext w:val="0"/>
        <w:ind w:left="720" w:firstLine="0"/>
        <w:contextualSpacing/>
        <w:rPr>
          <w:rFonts w:ascii="Times New Roman" w:hAnsi="Times New Roman"/>
          <w:sz w:val="24"/>
          <w:szCs w:val="24"/>
        </w:rPr>
      </w:pPr>
    </w:p>
    <w:p w:rsidR="00F2757B" w:rsidRPr="00F2757B" w:rsidRDefault="00F2757B" w:rsidP="00F2757B">
      <w:pPr>
        <w:pStyle w:val="Nadpis3"/>
        <w:keepLines w:val="0"/>
        <w:numPr>
          <w:ilvl w:val="1"/>
          <w:numId w:val="13"/>
        </w:numPr>
        <w:spacing w:before="240" w:after="240"/>
        <w:rPr>
          <w:rFonts w:ascii="Times New Roman" w:hAnsi="Times New Roman"/>
          <w:b/>
          <w:color w:val="auto"/>
        </w:rPr>
      </w:pPr>
      <w:r w:rsidRPr="00F2757B">
        <w:rPr>
          <w:rFonts w:ascii="Times New Roman" w:hAnsi="Times New Roman"/>
          <w:b/>
          <w:color w:val="auto"/>
        </w:rPr>
        <w:t>Administrace VPN koncentrátoru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VPN 1</w:t>
      </w:r>
      <w:r w:rsidRPr="00E43209">
        <w:rPr>
          <w:rFonts w:ascii="Times New Roman" w:hAnsi="Times New Roman"/>
          <w:sz w:val="24"/>
          <w:szCs w:val="24"/>
        </w:rPr>
        <w:tab/>
        <w:t xml:space="preserve">konfigurace </w:t>
      </w:r>
      <w:proofErr w:type="spellStart"/>
      <w:r w:rsidRPr="00E43209">
        <w:rPr>
          <w:rFonts w:ascii="Times New Roman" w:hAnsi="Times New Roman"/>
          <w:sz w:val="24"/>
          <w:szCs w:val="24"/>
        </w:rPr>
        <w:t>site</w:t>
      </w:r>
      <w:proofErr w:type="spellEnd"/>
      <w:r w:rsidRPr="00E43209">
        <w:rPr>
          <w:rFonts w:ascii="Times New Roman" w:hAnsi="Times New Roman"/>
          <w:sz w:val="24"/>
          <w:szCs w:val="24"/>
        </w:rPr>
        <w:t xml:space="preserve">-to </w:t>
      </w:r>
      <w:proofErr w:type="spellStart"/>
      <w:r w:rsidRPr="00E43209">
        <w:rPr>
          <w:rFonts w:ascii="Times New Roman" w:hAnsi="Times New Roman"/>
          <w:sz w:val="24"/>
          <w:szCs w:val="24"/>
        </w:rPr>
        <w:t>site</w:t>
      </w:r>
      <w:proofErr w:type="spellEnd"/>
      <w:r w:rsidRPr="00E43209">
        <w:rPr>
          <w:rFonts w:ascii="Times New Roman" w:hAnsi="Times New Roman"/>
          <w:sz w:val="24"/>
          <w:szCs w:val="24"/>
        </w:rPr>
        <w:t xml:space="preserve"> VPN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vytvoření VPN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zrušení VPN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změna parametrů VPN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změna vzdálených IP adres VPN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změna sdíleného klíče VPN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 xml:space="preserve">změna parametrů šifrovacích algoritmů 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lastRenderedPageBreak/>
        <w:t>definice bezpečnostních pravidel pro přístup ze vzdálené sítě</w:t>
      </w:r>
    </w:p>
    <w:p w:rsidR="00F2757B" w:rsidRPr="00E43209" w:rsidRDefault="00F2757B" w:rsidP="00F2757B">
      <w:pPr>
        <w:pStyle w:val="Odstavec"/>
        <w:keepNext w:val="0"/>
        <w:ind w:left="1866" w:firstLine="0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VPN 2</w:t>
      </w:r>
      <w:r w:rsidRPr="00E43209">
        <w:rPr>
          <w:rFonts w:ascii="Times New Roman" w:hAnsi="Times New Roman"/>
          <w:sz w:val="24"/>
          <w:szCs w:val="24"/>
        </w:rPr>
        <w:tab/>
        <w:t xml:space="preserve">konfigurace </w:t>
      </w:r>
      <w:proofErr w:type="spellStart"/>
      <w:r w:rsidRPr="00E43209">
        <w:rPr>
          <w:rFonts w:ascii="Times New Roman" w:hAnsi="Times New Roman"/>
          <w:sz w:val="24"/>
          <w:szCs w:val="24"/>
        </w:rPr>
        <w:t>remote</w:t>
      </w:r>
      <w:proofErr w:type="spellEnd"/>
      <w:r w:rsidRPr="00E432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3209">
        <w:rPr>
          <w:rFonts w:ascii="Times New Roman" w:hAnsi="Times New Roman"/>
          <w:sz w:val="24"/>
          <w:szCs w:val="24"/>
        </w:rPr>
        <w:t>access</w:t>
      </w:r>
      <w:proofErr w:type="spellEnd"/>
      <w:r w:rsidRPr="00E43209">
        <w:rPr>
          <w:rFonts w:ascii="Times New Roman" w:hAnsi="Times New Roman"/>
          <w:sz w:val="24"/>
          <w:szCs w:val="24"/>
        </w:rPr>
        <w:t xml:space="preserve"> VPN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vytvoření VPN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zrušení VPN</w:t>
      </w:r>
    </w:p>
    <w:p w:rsidR="00F2757B" w:rsidRPr="00E43209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změna parametrů VPN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definice IP rozsahu pro VPN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změna sdíleného skupinového klíče VPN</w:t>
      </w:r>
    </w:p>
    <w:p w:rsidR="00F2757B" w:rsidRPr="00E43209" w:rsidRDefault="00F2757B" w:rsidP="00F2757B">
      <w:pPr>
        <w:pStyle w:val="Odstavec"/>
        <w:keepNext w:val="0"/>
        <w:numPr>
          <w:ilvl w:val="2"/>
          <w:numId w:val="11"/>
        </w:numPr>
        <w:ind w:left="3306"/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 xml:space="preserve">změna parametrů šifrovacích algoritmů </w:t>
      </w:r>
    </w:p>
    <w:p w:rsidR="00F2757B" w:rsidRDefault="00F2757B" w:rsidP="00F2757B">
      <w:pPr>
        <w:pStyle w:val="Odstavec"/>
        <w:keepNext w:val="0"/>
        <w:numPr>
          <w:ilvl w:val="3"/>
          <w:numId w:val="11"/>
        </w:numPr>
        <w:contextualSpacing/>
        <w:rPr>
          <w:rFonts w:ascii="Times New Roman" w:hAnsi="Times New Roman"/>
          <w:sz w:val="24"/>
          <w:szCs w:val="24"/>
        </w:rPr>
      </w:pPr>
      <w:r w:rsidRPr="00E43209">
        <w:rPr>
          <w:rFonts w:ascii="Times New Roman" w:hAnsi="Times New Roman"/>
          <w:sz w:val="24"/>
          <w:szCs w:val="24"/>
        </w:rPr>
        <w:t>úprava úrovně přístupových práv uživatele VPN</w:t>
      </w:r>
      <w:r w:rsidRPr="00E43209">
        <w:rPr>
          <w:rFonts w:ascii="Times New Roman" w:hAnsi="Times New Roman"/>
          <w:sz w:val="24"/>
          <w:szCs w:val="24"/>
        </w:rPr>
        <w:tab/>
      </w:r>
    </w:p>
    <w:p w:rsidR="00F2757B" w:rsidRPr="00E43209" w:rsidRDefault="00F2757B" w:rsidP="00F2757B">
      <w:pPr>
        <w:pStyle w:val="Odstavec"/>
        <w:keepNext w:val="0"/>
        <w:ind w:left="0" w:firstLine="0"/>
        <w:contextualSpacing/>
        <w:rPr>
          <w:rFonts w:ascii="Times New Roman" w:hAnsi="Times New Roman"/>
          <w:sz w:val="24"/>
          <w:szCs w:val="24"/>
        </w:rPr>
      </w:pPr>
    </w:p>
    <w:p w:rsidR="00F2757B" w:rsidRPr="00F2757B" w:rsidRDefault="00F2757B" w:rsidP="00F2757B">
      <w:pPr>
        <w:pStyle w:val="Nadpis3"/>
        <w:keepLines w:val="0"/>
        <w:numPr>
          <w:ilvl w:val="0"/>
          <w:numId w:val="13"/>
        </w:numPr>
        <w:spacing w:before="240" w:after="240"/>
        <w:rPr>
          <w:rFonts w:ascii="Times New Roman" w:hAnsi="Times New Roman"/>
          <w:b/>
          <w:color w:val="auto"/>
        </w:rPr>
      </w:pPr>
      <w:r w:rsidRPr="00F2757B">
        <w:rPr>
          <w:rFonts w:ascii="Times New Roman" w:hAnsi="Times New Roman"/>
          <w:b/>
          <w:color w:val="auto"/>
        </w:rPr>
        <w:t>Vzdálený proaktivní dohled a správa zařízení</w:t>
      </w:r>
    </w:p>
    <w:p w:rsidR="00F2757B" w:rsidRPr="00E43209" w:rsidRDefault="00F2757B" w:rsidP="00F2757B">
      <w:pPr>
        <w:jc w:val="both"/>
      </w:pPr>
      <w:r w:rsidRPr="00E43209">
        <w:t xml:space="preserve">Pro zajištění vzdálené správy bude vytvořeno zabezpečené VPN připojení mezi poskytovatelem a zařízeními </w:t>
      </w:r>
      <w:r>
        <w:t>Zadavatele</w:t>
      </w:r>
      <w:r w:rsidRPr="00711590">
        <w:t xml:space="preserve"> </w:t>
      </w:r>
      <w:r>
        <w:t xml:space="preserve">v  souladu s interními směrnicemi Zadavatele. </w:t>
      </w:r>
      <w:r w:rsidRPr="00E43209">
        <w:t>Poskytovatel zajistí on-line monitoring zařízení.</w:t>
      </w:r>
    </w:p>
    <w:p w:rsidR="00F2757B" w:rsidRPr="003F09CE" w:rsidRDefault="00F2757B" w:rsidP="00F2757B">
      <w:pPr>
        <w:pStyle w:val="Nadpis3"/>
        <w:keepLines w:val="0"/>
        <w:numPr>
          <w:ilvl w:val="0"/>
          <w:numId w:val="13"/>
        </w:numPr>
        <w:spacing w:before="240" w:after="240"/>
        <w:rPr>
          <w:rFonts w:ascii="Times New Roman" w:hAnsi="Times New Roman"/>
          <w:b/>
          <w:color w:val="auto"/>
        </w:rPr>
      </w:pPr>
      <w:r w:rsidRPr="003F09CE">
        <w:rPr>
          <w:rFonts w:ascii="Times New Roman" w:hAnsi="Times New Roman"/>
          <w:b/>
          <w:color w:val="auto"/>
        </w:rPr>
        <w:t>SLA – dohoda o úrovni poskytovaných služeb</w:t>
      </w:r>
    </w:p>
    <w:p w:rsidR="00F2757B" w:rsidRPr="00E43209" w:rsidRDefault="00F2757B" w:rsidP="00F2757B">
      <w:pPr>
        <w:jc w:val="both"/>
        <w:rPr>
          <w:b/>
        </w:rPr>
      </w:pPr>
      <w:r w:rsidRPr="00E43209">
        <w:rPr>
          <w:b/>
        </w:rPr>
        <w:t>SLA 24 hodin v režimu 24x7 pro řešení závady (stavu, který brání základnímu fungování systému)</w:t>
      </w:r>
    </w:p>
    <w:p w:rsidR="00F2757B" w:rsidRPr="00E43209" w:rsidRDefault="00F2757B" w:rsidP="00F2757B">
      <w:pPr>
        <w:ind w:firstLine="708"/>
        <w:jc w:val="both"/>
      </w:pPr>
      <w:r w:rsidRPr="00E43209">
        <w:t>Reakce operátora do 30 minut, oprava do 24 hodin.</w:t>
      </w:r>
    </w:p>
    <w:p w:rsidR="00F2757B" w:rsidRPr="00E43209" w:rsidRDefault="00F2757B" w:rsidP="00F2757B">
      <w:pPr>
        <w:jc w:val="both"/>
      </w:pPr>
    </w:p>
    <w:p w:rsidR="00F2757B" w:rsidRPr="00E43209" w:rsidRDefault="00F2757B" w:rsidP="00F2757B">
      <w:pPr>
        <w:jc w:val="both"/>
        <w:rPr>
          <w:b/>
        </w:rPr>
      </w:pPr>
      <w:r w:rsidRPr="00E43209">
        <w:rPr>
          <w:b/>
        </w:rPr>
        <w:t>SLA 72 hodin v režimu 8x5 pro nekritické požadavky, plánované změny, nebo činnosti, které ze své podstaty vyžadují delší dobu řešení a neovlivňují základní funkčnost</w:t>
      </w:r>
    </w:p>
    <w:p w:rsidR="00F2757B" w:rsidRPr="00E43209" w:rsidRDefault="00F2757B" w:rsidP="00F2757B">
      <w:pPr>
        <w:ind w:left="708"/>
        <w:jc w:val="both"/>
      </w:pPr>
      <w:r w:rsidRPr="00E43209">
        <w:t>Reakce operátora do 30 minut, provedení do 72 hodin.</w:t>
      </w:r>
    </w:p>
    <w:p w:rsidR="00F2757B" w:rsidRPr="00E43209" w:rsidRDefault="00F2757B" w:rsidP="00F2757B">
      <w:pPr>
        <w:ind w:left="708"/>
        <w:jc w:val="both"/>
      </w:pPr>
      <w:r w:rsidRPr="00E43209">
        <w:t>Servisní časové okno provedení je v době 8:00 – 16:00hod. v pracovní dny.</w:t>
      </w:r>
    </w:p>
    <w:p w:rsidR="00F2757B" w:rsidRPr="00E43209" w:rsidRDefault="00F2757B" w:rsidP="00F2757B">
      <w:pPr>
        <w:ind w:left="360"/>
        <w:jc w:val="both"/>
      </w:pPr>
    </w:p>
    <w:p w:rsidR="00F2757B" w:rsidRPr="00E43209" w:rsidRDefault="00F2757B" w:rsidP="00F2757B">
      <w:pPr>
        <w:jc w:val="both"/>
      </w:pPr>
      <w:r w:rsidRPr="00E43209">
        <w:t>Pro zajištění kvalitních servisních služeb a služeb provozní podpory zajistí poskytovatel dohledové centrum. Toto pracoviště bude k dispozici v rozmezí 24/7/365.</w:t>
      </w:r>
    </w:p>
    <w:p w:rsidR="00F2757B" w:rsidRPr="00E43209" w:rsidRDefault="00F2757B" w:rsidP="00F2757B"/>
    <w:p w:rsidR="00F2757B" w:rsidRPr="003F09CE" w:rsidRDefault="00F2757B" w:rsidP="00F2757B">
      <w:pPr>
        <w:pStyle w:val="Nadpis3"/>
        <w:keepLines w:val="0"/>
        <w:numPr>
          <w:ilvl w:val="0"/>
          <w:numId w:val="13"/>
        </w:numPr>
        <w:spacing w:before="240" w:after="240"/>
        <w:rPr>
          <w:rFonts w:ascii="Times New Roman" w:hAnsi="Times New Roman"/>
          <w:b/>
          <w:color w:val="auto"/>
        </w:rPr>
      </w:pPr>
      <w:r w:rsidRPr="003F09CE">
        <w:rPr>
          <w:rFonts w:ascii="Times New Roman" w:hAnsi="Times New Roman"/>
          <w:b/>
          <w:color w:val="auto"/>
        </w:rPr>
        <w:t>Provozní dokumentace</w:t>
      </w:r>
    </w:p>
    <w:p w:rsidR="00F2757B" w:rsidRPr="00E43209" w:rsidRDefault="00F2757B" w:rsidP="00BA32DB">
      <w:pPr>
        <w:jc w:val="both"/>
      </w:pPr>
      <w:r w:rsidRPr="00E43209">
        <w:t>Poskytovatel bude udržovat provozní dokumentaci systému vysoké dostupnosti komunikační infrastruktury objednatele v dohodnutém formátu a v aktuálním stavu. Poskytovatel zašle aktualizaci za každý kalendářní měsíc do 10. dne následujícího měsíce.</w:t>
      </w:r>
    </w:p>
    <w:p w:rsidR="00970AFA" w:rsidRDefault="00970AFA" w:rsidP="00970AFA">
      <w:pPr>
        <w:pStyle w:val="Odstavecseseznamem"/>
        <w:spacing w:after="120"/>
        <w:ind w:left="0"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Doba plnění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Default="003F09CE" w:rsidP="00907514">
      <w:pPr>
        <w:widowControl w:val="0"/>
        <w:autoSpaceDE w:val="0"/>
        <w:autoSpaceDN w:val="0"/>
        <w:adjustRightInd w:val="0"/>
        <w:jc w:val="both"/>
      </w:pPr>
      <w:r>
        <w:t>Doba plnění je 48 měsíců</w:t>
      </w:r>
      <w:r w:rsidR="00BC00E3">
        <w:t xml:space="preserve"> od podpisu smlouvy</w:t>
      </w:r>
      <w:r w:rsidR="00907514" w:rsidRPr="00E5542A">
        <w:t xml:space="preserve"> nebo do vyčerpání finančního limitu v</w:t>
      </w:r>
      <w:r w:rsidR="00827B0F" w:rsidRPr="00E5542A">
        <w:t xml:space="preserve">e výši </w:t>
      </w:r>
      <w:r w:rsidR="00DA6C1F" w:rsidRPr="00E5542A">
        <w:t>2.000.000</w:t>
      </w:r>
      <w:r w:rsidR="00907514" w:rsidRPr="00E5542A">
        <w:t xml:space="preserve">,- Kč bez DPH, a to podle toho, která z těchto skutečností nastane dříve. </w:t>
      </w: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3F09CE" w:rsidRPr="00E5542A" w:rsidRDefault="003F09CE" w:rsidP="00907514">
      <w:pPr>
        <w:widowControl w:val="0"/>
        <w:autoSpaceDE w:val="0"/>
        <w:autoSpaceDN w:val="0"/>
        <w:adjustRightInd w:val="0"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907514" w:rsidRPr="00E5542A" w:rsidRDefault="00441D38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III</w:t>
      </w:r>
      <w:r w:rsidR="00907514" w:rsidRPr="00E5542A">
        <w:rPr>
          <w:b/>
        </w:rPr>
        <w:t>.</w:t>
      </w:r>
    </w:p>
    <w:p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Cena díla</w:t>
      </w:r>
    </w:p>
    <w:p w:rsidR="003F09CE" w:rsidRDefault="003F09CE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3F09CE" w:rsidRPr="00E15F86" w:rsidRDefault="003F09CE" w:rsidP="003F09CE">
      <w:pPr>
        <w:pStyle w:val="Odstavecseseznamem"/>
        <w:numPr>
          <w:ilvl w:val="0"/>
          <w:numId w:val="14"/>
        </w:numPr>
        <w:jc w:val="both"/>
      </w:pPr>
      <w:r w:rsidRPr="00E15F86">
        <w:t>Členění cenové nabídky:</w:t>
      </w:r>
    </w:p>
    <w:p w:rsidR="003F09CE" w:rsidRPr="00E43209" w:rsidRDefault="003F09CE" w:rsidP="003F09CE">
      <w:pPr>
        <w:tabs>
          <w:tab w:val="left" w:pos="2820"/>
        </w:tabs>
        <w:jc w:val="both"/>
      </w:pPr>
      <w:r w:rsidRPr="00E43209">
        <w:fldChar w:fldCharType="begin"/>
      </w:r>
      <w:r w:rsidRPr="00E43209">
        <w:instrText xml:space="preserve"> LINK Excel.Sheet.8 "\\\\wsbs\\firma\\Projekty\\Nabídky 2017\\N17 046 VOZP Správa Firewallu\\Kalkulace\\17 05 11 VOZP správa Firewallu kalkulace.xls" "List1 (2)!R4C1:R21C6" \a \f 4 \h  \* MERGEFORMAT </w:instrText>
      </w:r>
      <w:r w:rsidRPr="00E43209">
        <w:fldChar w:fldCharType="separate"/>
      </w:r>
      <w:r>
        <w:tab/>
      </w:r>
    </w:p>
    <w:tbl>
      <w:tblPr>
        <w:tblW w:w="95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180"/>
        <w:gridCol w:w="2311"/>
        <w:gridCol w:w="2693"/>
      </w:tblGrid>
      <w:tr w:rsidR="003F09CE" w:rsidRPr="00E43209" w:rsidTr="00E72F67">
        <w:trPr>
          <w:trHeight w:val="28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>Specifikace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Cena </w:t>
            </w:r>
            <w:r>
              <w:rPr>
                <w:b/>
                <w:bCs/>
                <w:color w:val="000000"/>
              </w:rPr>
              <w:t>bez DPH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Cena </w:t>
            </w:r>
            <w:r>
              <w:rPr>
                <w:b/>
                <w:bCs/>
                <w:color w:val="000000"/>
              </w:rPr>
              <w:t>s DPH</w:t>
            </w:r>
            <w:r w:rsidRPr="00E43209">
              <w:rPr>
                <w:b/>
                <w:bCs/>
                <w:color w:val="000000"/>
              </w:rPr>
              <w:t xml:space="preserve">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provedení </w:t>
            </w:r>
            <w:r>
              <w:rPr>
                <w:color w:val="000000"/>
              </w:rPr>
              <w:t xml:space="preserve">vstupní analýzy stavu </w:t>
            </w:r>
            <w:r w:rsidRPr="00E43209">
              <w:rPr>
                <w:color w:val="000000"/>
              </w:rPr>
              <w:t>zařízení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504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návrh nového nastavení zařízení, odsouhlasení s objednatelem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provedení konfigurace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testování nového nastavení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implementace zařízení do dohledového systému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>Cena celkem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DPH 21%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4C262A" w:rsidRDefault="003F09CE" w:rsidP="00E72F67">
            <w:pPr>
              <w:rPr>
                <w:b/>
                <w:color w:val="000000"/>
              </w:rPr>
            </w:pPr>
            <w:r w:rsidRPr="004C262A">
              <w:rPr>
                <w:b/>
                <w:color w:val="000000"/>
              </w:rPr>
              <w:t>Cena celkem včetně DPH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4C262A" w:rsidRDefault="003F09CE" w:rsidP="00E72F67">
            <w:pPr>
              <w:rPr>
                <w:b/>
                <w:color w:val="000000"/>
              </w:rPr>
            </w:pPr>
            <w:r w:rsidRPr="004C262A">
              <w:rPr>
                <w:b/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4C262A" w:rsidRDefault="003F09CE" w:rsidP="00E72F67">
            <w:pPr>
              <w:rPr>
                <w:b/>
                <w:color w:val="000000"/>
              </w:rPr>
            </w:pPr>
            <w:r w:rsidRPr="004C262A">
              <w:rPr>
                <w:b/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Default="003F09CE" w:rsidP="00E72F67"/>
          <w:p w:rsidR="003F09CE" w:rsidRPr="00E43209" w:rsidRDefault="003F09CE" w:rsidP="00E72F67"/>
          <w:p w:rsidR="003F09CE" w:rsidRPr="00E43209" w:rsidRDefault="003F09CE" w:rsidP="00E72F67"/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/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/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Default="00E15F86" w:rsidP="00E72F6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2. </w:t>
            </w:r>
            <w:r w:rsidR="003F09CE" w:rsidRPr="00E15F86">
              <w:rPr>
                <w:bCs/>
                <w:color w:val="000000"/>
              </w:rPr>
              <w:t>měsíční platby</w:t>
            </w:r>
          </w:p>
          <w:p w:rsidR="00E15F86" w:rsidRPr="00E15F86" w:rsidRDefault="00E15F86" w:rsidP="00E72F67">
            <w:pPr>
              <w:rPr>
                <w:bCs/>
                <w:color w:val="000000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/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/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>Specifikace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Cena </w:t>
            </w:r>
            <w:r>
              <w:rPr>
                <w:b/>
                <w:bCs/>
                <w:color w:val="000000"/>
              </w:rPr>
              <w:t>bez DPH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Cena </w:t>
            </w:r>
            <w:r>
              <w:rPr>
                <w:b/>
                <w:bCs/>
                <w:color w:val="000000"/>
              </w:rPr>
              <w:t>s DPH</w:t>
            </w:r>
            <w:r w:rsidRPr="00E43209">
              <w:rPr>
                <w:b/>
                <w:bCs/>
                <w:color w:val="000000"/>
              </w:rPr>
              <w:t xml:space="preserve">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vzdálený trvalý proaktivní dohled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pravidelná kontrola stavu zařízení – 1x za měsíc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jc w:val="center"/>
              <w:rPr>
                <w:color w:val="000000"/>
              </w:rPr>
            </w:pPr>
            <w:r w:rsidRPr="00E43209">
              <w:rPr>
                <w:color w:val="000000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správa dle specifikace služeb a SLA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>Cena celkem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  <w:r w:rsidRPr="00E43209">
              <w:rPr>
                <w:b/>
                <w:bCs/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b/>
                <w:bCs/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>DPH 21%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  <w:r w:rsidRPr="00E43209">
              <w:rPr>
                <w:color w:val="000000"/>
              </w:rPr>
              <w:t xml:space="preserve">                     - Kč </w:t>
            </w:r>
          </w:p>
        </w:tc>
      </w:tr>
      <w:tr w:rsidR="003F09CE" w:rsidRPr="00E43209" w:rsidTr="00E72F67">
        <w:trPr>
          <w:trHeight w:val="288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9CE" w:rsidRPr="00E43209" w:rsidRDefault="003F09CE" w:rsidP="00E72F67">
            <w:pPr>
              <w:rPr>
                <w:color w:val="000000"/>
              </w:rPr>
            </w:pPr>
          </w:p>
        </w:tc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4C262A" w:rsidRDefault="003F09CE" w:rsidP="00E72F67">
            <w:pPr>
              <w:rPr>
                <w:b/>
                <w:color w:val="000000"/>
              </w:rPr>
            </w:pPr>
            <w:r w:rsidRPr="004C262A">
              <w:rPr>
                <w:b/>
                <w:color w:val="000000"/>
              </w:rPr>
              <w:t>Cena celkem včetně DPH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4C262A" w:rsidRDefault="003F09CE" w:rsidP="00E72F67">
            <w:pPr>
              <w:rPr>
                <w:b/>
                <w:color w:val="000000"/>
              </w:rPr>
            </w:pPr>
            <w:r w:rsidRPr="004C262A">
              <w:rPr>
                <w:b/>
                <w:color w:val="000000"/>
              </w:rPr>
              <w:t xml:space="preserve">                     - Kč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09CE" w:rsidRPr="004C262A" w:rsidRDefault="003F09CE" w:rsidP="00E72F67">
            <w:pPr>
              <w:rPr>
                <w:b/>
                <w:color w:val="000000"/>
              </w:rPr>
            </w:pPr>
            <w:r w:rsidRPr="004C262A">
              <w:rPr>
                <w:b/>
                <w:color w:val="000000"/>
              </w:rPr>
              <w:t xml:space="preserve">                     - Kč </w:t>
            </w:r>
          </w:p>
        </w:tc>
      </w:tr>
    </w:tbl>
    <w:p w:rsidR="003F09CE" w:rsidRPr="00E43209" w:rsidRDefault="003F09CE" w:rsidP="003F09CE">
      <w:pPr>
        <w:jc w:val="both"/>
      </w:pPr>
      <w:r w:rsidRPr="00E43209">
        <w:fldChar w:fldCharType="end"/>
      </w:r>
    </w:p>
    <w:p w:rsidR="00424342" w:rsidRPr="00E5542A" w:rsidRDefault="003F09CE" w:rsidP="002E592C">
      <w:pPr>
        <w:pStyle w:val="Odstavecseseznamem"/>
        <w:keepNext/>
        <w:numPr>
          <w:ilvl w:val="0"/>
          <w:numId w:val="15"/>
        </w:numPr>
        <w:spacing w:after="120"/>
        <w:ind w:left="283" w:hanging="357"/>
        <w:contextualSpacing w:val="0"/>
        <w:jc w:val="both"/>
      </w:pPr>
      <w:r w:rsidRPr="00E15F86">
        <w:rPr>
          <w:bCs/>
          <w:color w:val="000000"/>
        </w:rPr>
        <w:t>Celková cena</w:t>
      </w:r>
      <w:r w:rsidRPr="00E15F86">
        <w:t xml:space="preserve"> služby činí </w:t>
      </w:r>
      <w:r w:rsidR="000735B3" w:rsidRPr="00E15F86">
        <w:t>…….,- Kč s</w:t>
      </w:r>
      <w:r w:rsidRPr="00E15F86">
        <w:t xml:space="preserve"> DPH</w:t>
      </w:r>
      <w:r w:rsidR="000735B3">
        <w:rPr>
          <w:b/>
        </w:rPr>
        <w:t xml:space="preserve"> /</w:t>
      </w:r>
      <w:r w:rsidR="000735B3" w:rsidRPr="000735B3">
        <w:t>doplní dodavatel</w:t>
      </w:r>
      <w:r w:rsidR="000735B3">
        <w:rPr>
          <w:b/>
        </w:rPr>
        <w:t>/</w:t>
      </w:r>
      <w:r w:rsidRPr="003F09CE">
        <w:rPr>
          <w:b/>
        </w:rPr>
        <w:t xml:space="preserve"> </w:t>
      </w:r>
      <w:r w:rsidR="000735B3">
        <w:t>(slovy: …………</w:t>
      </w:r>
      <w:r w:rsidRPr="00881F98">
        <w:t>)(dále jen „Cena“), s t</w:t>
      </w:r>
      <w:r w:rsidR="000735B3">
        <w:t xml:space="preserve">ím, že výše DPH činí </w:t>
      </w:r>
      <w:proofErr w:type="gramStart"/>
      <w:r w:rsidR="000735B3">
        <w:t>….. Kč</w:t>
      </w:r>
      <w:proofErr w:type="gramEnd"/>
      <w:r w:rsidR="000735B3">
        <w:t xml:space="preserve"> /doplní dodavatel/ ) (slovy ………..) , cena bez DPH činí ……..</w:t>
      </w:r>
      <w:r w:rsidRPr="00881F98">
        <w:t xml:space="preserve"> </w:t>
      </w:r>
      <w:r w:rsidR="000735B3">
        <w:t xml:space="preserve">Kč (slovy ………..) /doplní dodavatel/. </w:t>
      </w:r>
      <w:r w:rsidRPr="00881F98">
        <w:t xml:space="preserve">Cena bez DPH je cena smluvní, pevná a neměnná. Cena bez DPH je stanovena mezi smluvními stranami jako nepřekročitelná a nejvýše přípustná za plnění celého předmětu této smlouvy a zahrnuje veškeré náklady, výdaje a činnosti </w:t>
      </w:r>
      <w:r>
        <w:t>dodavatele</w:t>
      </w:r>
      <w:r w:rsidR="000735B3">
        <w:t>.</w:t>
      </w:r>
      <w:r w:rsidRPr="00881F98">
        <w:t xml:space="preserve"> </w:t>
      </w:r>
    </w:p>
    <w:p w:rsidR="00907514" w:rsidRPr="00E5542A" w:rsidRDefault="00907514" w:rsidP="00907514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3" w:hanging="357"/>
        <w:contextualSpacing w:val="0"/>
        <w:jc w:val="both"/>
      </w:pPr>
      <w:r w:rsidRPr="00E15F86">
        <w:t>Ceny uvedené</w:t>
      </w:r>
      <w:r w:rsidRPr="00E5542A">
        <w:t xml:space="preserve"> v </w:t>
      </w:r>
      <w:r w:rsidR="007710F5">
        <w:t>nabídce</w:t>
      </w:r>
      <w:r w:rsidRPr="00E5542A">
        <w:t xml:space="preserve"> jsou platné po celou dobu platnosti smlouvy.</w:t>
      </w:r>
    </w:p>
    <w:p w:rsidR="00E15F86" w:rsidRDefault="00907514" w:rsidP="002E592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3" w:hanging="357"/>
        <w:contextualSpacing w:val="0"/>
        <w:jc w:val="both"/>
      </w:pPr>
      <w:r w:rsidRPr="00E5542A">
        <w:t>Dodavatel je povinen v případě, že by celková úhrada dle této smlouvy</w:t>
      </w:r>
      <w:r w:rsidR="00E15F86">
        <w:t xml:space="preserve"> přesáhla limit stanovený v čl.. 2. II. této</w:t>
      </w:r>
      <w:r w:rsidRPr="00E5542A">
        <w:t xml:space="preserve"> smlouvy, předem písemně upozornit objednatele na tuto skutečnost. Dodavatel nesmí zahájit plnění předmětu smlouvy, které by následně požadoval vyfakturovat v ceně překračující finanční limit.</w:t>
      </w:r>
    </w:p>
    <w:p w:rsidR="00907514" w:rsidRPr="00E5542A" w:rsidRDefault="00E15F86" w:rsidP="002E592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283" w:hanging="357"/>
        <w:jc w:val="both"/>
      </w:pPr>
      <w:r>
        <w:t>Dodavatel vystaví samostatnou fakturu za splnění úkon</w:t>
      </w:r>
      <w:r w:rsidR="00AE23B7">
        <w:t>ů uvedených v bodě III. 1. této smlouvy.</w:t>
      </w:r>
    </w:p>
    <w:p w:rsidR="00907514" w:rsidRDefault="00907514" w:rsidP="00BA32DB">
      <w:pPr>
        <w:widowControl w:val="0"/>
        <w:numPr>
          <w:ilvl w:val="0"/>
          <w:numId w:val="15"/>
        </w:numPr>
        <w:autoSpaceDE w:val="0"/>
        <w:autoSpaceDN w:val="0"/>
        <w:adjustRightInd w:val="0"/>
        <w:ind w:left="284" w:hanging="426"/>
        <w:contextualSpacing/>
        <w:jc w:val="both"/>
      </w:pPr>
      <w:r w:rsidRPr="00E5542A">
        <w:t>Dodavatel bude průběžně vystavov</w:t>
      </w:r>
      <w:r w:rsidR="00AE23B7">
        <w:t xml:space="preserve">at faktury za měsíční plnění podle bodu III. 2. této smlouvy. </w:t>
      </w:r>
    </w:p>
    <w:p w:rsidR="00CA0BD3" w:rsidRDefault="00CA0BD3" w:rsidP="00CA0BD3">
      <w:pPr>
        <w:pStyle w:val="Odstavecseseznamem"/>
      </w:pPr>
    </w:p>
    <w:p w:rsidR="00AE23B7" w:rsidRDefault="00CA0BD3" w:rsidP="002E592C">
      <w:pPr>
        <w:pStyle w:val="Odstavecseseznamem"/>
        <w:numPr>
          <w:ilvl w:val="0"/>
          <w:numId w:val="15"/>
        </w:numPr>
        <w:spacing w:after="120"/>
        <w:ind w:left="283" w:hanging="357"/>
        <w:contextualSpacing w:val="0"/>
        <w:jc w:val="both"/>
      </w:pPr>
      <w:r w:rsidRPr="00F85724">
        <w:t xml:space="preserve">Všechny částky v Kč poukazované mezi </w:t>
      </w:r>
      <w:r>
        <w:t>objednatelem</w:t>
      </w:r>
      <w:r w:rsidRPr="00F85724">
        <w:t xml:space="preserve"> a </w:t>
      </w:r>
      <w:r w:rsidR="00BA32DB">
        <w:t>dodavatelem</w:t>
      </w:r>
      <w:r w:rsidRPr="00F85724">
        <w:t xml:space="preserve"> na základě této </w:t>
      </w:r>
      <w:r>
        <w:t>s</w:t>
      </w:r>
      <w:r w:rsidRPr="00F85724">
        <w:t>mlouvy musí být prosté jakýchkoli bankovních poplatků nebo jiných nákladů spojených s převodem na jejich účty.</w:t>
      </w:r>
    </w:p>
    <w:p w:rsidR="00AE23B7" w:rsidRPr="00BA32DB" w:rsidRDefault="00AE23B7" w:rsidP="002E592C">
      <w:pPr>
        <w:pStyle w:val="Odstavecseseznamem"/>
        <w:numPr>
          <w:ilvl w:val="0"/>
          <w:numId w:val="15"/>
        </w:numPr>
        <w:spacing w:after="120"/>
        <w:ind w:left="284" w:hanging="357"/>
        <w:contextualSpacing w:val="0"/>
        <w:jc w:val="both"/>
      </w:pPr>
      <w:r w:rsidRPr="00BA32DB">
        <w:lastRenderedPageBreak/>
        <w:t>Daňov</w:t>
      </w:r>
      <w:r w:rsidR="0013098B">
        <w:t>ý doklad (fakturu) doručí dodava</w:t>
      </w:r>
      <w:r w:rsidRPr="00BA32DB">
        <w:t>tel objednateli ve dvou výtiscích, nejpozději do 10. dne následujícího měsíce. Splatnost faktury je 30 dnů od jejího doručení objednateli. Za den splnění platební povinnosti se považuje den při</w:t>
      </w:r>
      <w:r w:rsidR="0013098B">
        <w:t>psání částky ceny na účet dodava</w:t>
      </w:r>
      <w:r w:rsidRPr="00BA32DB">
        <w:t>tele.</w:t>
      </w:r>
    </w:p>
    <w:p w:rsidR="00AE23B7" w:rsidRPr="00BA32DB" w:rsidRDefault="00AE23B7" w:rsidP="002E592C">
      <w:pPr>
        <w:pStyle w:val="Odstavecseseznamem"/>
        <w:numPr>
          <w:ilvl w:val="0"/>
          <w:numId w:val="15"/>
        </w:numPr>
        <w:ind w:left="284" w:hanging="426"/>
        <w:jc w:val="both"/>
      </w:pPr>
      <w:r w:rsidRPr="00BA32DB">
        <w:t>Daňový doklad (faktura) bude obsahovat všechny údaje týkající se daňového dokladu dle § 29 zákona č. 235/2004 Sb., o dani z přidané hodnoty, ve znění pozdějších předpisů, a náležitosti uvedené v § 435 zákona č. 89/2012 Sb., občanského zákoníku. Kromě z</w:t>
      </w:r>
      <w:r w:rsidR="0013098B">
        <w:t>miňovaných náležitostí je dodavate</w:t>
      </w:r>
      <w:r w:rsidRPr="00BA32DB">
        <w:t>l povinen uvést tyto další údaje a respektovat níže uvedené skutečnosti:</w:t>
      </w:r>
    </w:p>
    <w:p w:rsidR="00AE23B7" w:rsidRPr="00BA32DB" w:rsidRDefault="00AE23B7" w:rsidP="00BA32DB">
      <w:pPr>
        <w:pStyle w:val="Odstavecseseznamem"/>
        <w:numPr>
          <w:ilvl w:val="0"/>
          <w:numId w:val="17"/>
        </w:numPr>
        <w:ind w:left="851"/>
      </w:pPr>
      <w:r w:rsidRPr="00BA32DB">
        <w:t xml:space="preserve">označení dokladu jako daňový doklad - faktura; </w:t>
      </w:r>
    </w:p>
    <w:p w:rsidR="00AE23B7" w:rsidRPr="00BA32DB" w:rsidRDefault="00BA32DB" w:rsidP="00BA32DB">
      <w:pPr>
        <w:pStyle w:val="Odstavecseseznamem"/>
        <w:numPr>
          <w:ilvl w:val="0"/>
          <w:numId w:val="17"/>
        </w:numPr>
        <w:ind w:left="851"/>
      </w:pPr>
      <w:r>
        <w:t xml:space="preserve">název </w:t>
      </w:r>
      <w:r w:rsidR="00AE23B7" w:rsidRPr="00BA32DB">
        <w:t>Smlouvy;</w:t>
      </w:r>
    </w:p>
    <w:p w:rsidR="00AE23B7" w:rsidRPr="00BA32DB" w:rsidRDefault="00AE23B7" w:rsidP="00BA32DB">
      <w:pPr>
        <w:pStyle w:val="Odstavecseseznamem"/>
        <w:numPr>
          <w:ilvl w:val="0"/>
          <w:numId w:val="17"/>
        </w:numPr>
        <w:ind w:left="851"/>
      </w:pPr>
      <w:r w:rsidRPr="00BA32DB">
        <w:t>den odeslání daňového dokladu (faktury);</w:t>
      </w:r>
    </w:p>
    <w:p w:rsidR="00AE23B7" w:rsidRPr="00BA32DB" w:rsidRDefault="00AE23B7" w:rsidP="00BA32DB">
      <w:pPr>
        <w:pStyle w:val="Odstavecseseznamem"/>
        <w:numPr>
          <w:ilvl w:val="0"/>
          <w:numId w:val="17"/>
        </w:numPr>
        <w:ind w:left="851"/>
      </w:pPr>
      <w:r w:rsidRPr="00BA32DB">
        <w:t>počet příloh;</w:t>
      </w:r>
    </w:p>
    <w:p w:rsidR="00AE23B7" w:rsidRPr="00BA32DB" w:rsidRDefault="0013098B" w:rsidP="00BA32DB">
      <w:pPr>
        <w:pStyle w:val="Odstavecseseznamem"/>
        <w:numPr>
          <w:ilvl w:val="0"/>
          <w:numId w:val="17"/>
        </w:numPr>
        <w:ind w:left="851"/>
      </w:pPr>
      <w:r>
        <w:t>razítko a podpisem dodavatele</w:t>
      </w:r>
      <w:r w:rsidR="00AE23B7" w:rsidRPr="00BA32DB">
        <w:t>;</w:t>
      </w:r>
    </w:p>
    <w:p w:rsidR="00AE23B7" w:rsidRPr="00BA32DB" w:rsidRDefault="00AE23B7" w:rsidP="00BA32DB">
      <w:pPr>
        <w:pStyle w:val="Odstavecseseznamem"/>
        <w:numPr>
          <w:ilvl w:val="0"/>
          <w:numId w:val="17"/>
        </w:numPr>
        <w:ind w:left="851"/>
      </w:pPr>
      <w:r w:rsidRPr="00BA32DB">
        <w:t xml:space="preserve">číslo bankovního účtu </w:t>
      </w:r>
      <w:r w:rsidR="0013098B">
        <w:t>dodava</w:t>
      </w:r>
      <w:r w:rsidRPr="00BA32DB">
        <w:t>tele.</w:t>
      </w:r>
    </w:p>
    <w:p w:rsidR="00CA0BD3" w:rsidRPr="00BA32DB" w:rsidRDefault="00CA0BD3" w:rsidP="00BA32DB">
      <w:pPr>
        <w:pStyle w:val="Odstavecseseznamem"/>
        <w:ind w:left="426"/>
      </w:pPr>
    </w:p>
    <w:p w:rsidR="00AE23B7" w:rsidRDefault="00CA0BD3" w:rsidP="00832E79">
      <w:pPr>
        <w:pStyle w:val="Odstavecseseznamem"/>
        <w:numPr>
          <w:ilvl w:val="0"/>
          <w:numId w:val="15"/>
        </w:numPr>
        <w:spacing w:after="120"/>
        <w:ind w:left="283" w:hanging="425"/>
        <w:contextualSpacing w:val="0"/>
        <w:jc w:val="both"/>
      </w:pPr>
      <w:r w:rsidRPr="00F85724">
        <w:t xml:space="preserve">Pokud daňový doklad (faktura) neobsahuje všechny zákonem a smlouvou stanovené náležitosti, je </w:t>
      </w:r>
      <w:r>
        <w:t xml:space="preserve">objednatel </w:t>
      </w:r>
      <w:r w:rsidRPr="00F85724">
        <w:t xml:space="preserve">oprávněn ji do data splatnosti vrátit s tím, že </w:t>
      </w:r>
      <w:r w:rsidR="0013098B">
        <w:t>dodavatel</w:t>
      </w:r>
      <w:r w:rsidRPr="00F85724">
        <w:t xml:space="preserve"> je poté povinen vystavit nový daňový doklad (fakturu) s novým termínem splatnosti. Ve vrácené faktuře musí </w:t>
      </w:r>
      <w:r>
        <w:t xml:space="preserve">objednatel </w:t>
      </w:r>
      <w:r w:rsidRPr="00F85724">
        <w:t xml:space="preserve">vyznačit důvod vrácení. </w:t>
      </w:r>
      <w:r w:rsidR="00BA32DB">
        <w:t>Dodavatel</w:t>
      </w:r>
      <w:r w:rsidRPr="00F85724">
        <w:t xml:space="preserve"> je povinen vystavit nový daňový doklad (fakturu) s tím, že oprávněným vrácením faktury přestává běžet původní lhůta splatnosti a běží nová lhůta </w:t>
      </w:r>
      <w:r w:rsidRPr="00480736">
        <w:t xml:space="preserve">stanovená v čl. </w:t>
      </w:r>
      <w:r w:rsidR="00F55BFD">
        <w:t>III</w:t>
      </w:r>
      <w:r w:rsidRPr="00480736">
        <w:t>.</w:t>
      </w:r>
      <w:r w:rsidR="00F55BFD">
        <w:t xml:space="preserve"> odst. 4</w:t>
      </w:r>
      <w:r w:rsidRPr="00480736">
        <w:t>.</w:t>
      </w:r>
      <w:r w:rsidRPr="00F85724">
        <w:t xml:space="preserve"> této </w:t>
      </w:r>
      <w:r>
        <w:t>s</w:t>
      </w:r>
      <w:r w:rsidRPr="00F85724">
        <w:t xml:space="preserve">mlouvy ode dne prokazatelného doručení opraveného a všemi náležitostmi opatřeného daňového dokladu (faktury) </w:t>
      </w:r>
      <w:r>
        <w:t>objednateli</w:t>
      </w:r>
      <w:r w:rsidRPr="00F85724">
        <w:t>.</w:t>
      </w:r>
    </w:p>
    <w:p w:rsidR="00AE23B7" w:rsidRPr="00BA32DB" w:rsidRDefault="00BA32DB" w:rsidP="00AE23B7">
      <w:pPr>
        <w:pStyle w:val="Odstavecseseznamem"/>
        <w:numPr>
          <w:ilvl w:val="0"/>
          <w:numId w:val="15"/>
        </w:numPr>
        <w:spacing w:after="120"/>
        <w:ind w:left="283" w:hanging="425"/>
        <w:contextualSpacing w:val="0"/>
        <w:jc w:val="both"/>
      </w:pPr>
      <w:r>
        <w:t>Dodavatel</w:t>
      </w:r>
      <w:r w:rsidR="00AE23B7" w:rsidRPr="00BA32DB">
        <w:t xml:space="preserve"> prohlašuje, že není veden v registru nespolehlivých plátců DPH.</w:t>
      </w:r>
    </w:p>
    <w:p w:rsidR="00AE23B7" w:rsidRPr="00BA32DB" w:rsidRDefault="00AE23B7" w:rsidP="00BA32DB">
      <w:pPr>
        <w:pStyle w:val="Odstavecseseznamem"/>
        <w:numPr>
          <w:ilvl w:val="0"/>
          <w:numId w:val="15"/>
        </w:numPr>
        <w:ind w:left="284" w:hanging="426"/>
        <w:jc w:val="both"/>
      </w:pPr>
      <w:r w:rsidRPr="00BA32DB">
        <w:t>Pokud finanční úřad vyzve obje</w:t>
      </w:r>
      <w:r w:rsidR="00BA32DB">
        <w:t>dnatele k zaplacení dodavatelem</w:t>
      </w:r>
      <w:r w:rsidRPr="00BA32DB">
        <w:t xml:space="preserve"> nezaplacené DPH</w:t>
      </w:r>
      <w:r w:rsidR="0013098B">
        <w:t xml:space="preserve"> z ceny díla, zavazuje se dodavatel</w:t>
      </w:r>
      <w:r w:rsidRPr="00BA32DB">
        <w:t xml:space="preserve"> zaplatit objednateli smluvní pokutu odpovídající výši neuhrazené DPH. </w:t>
      </w:r>
    </w:p>
    <w:p w:rsidR="00F55BFD" w:rsidRDefault="00F55BFD" w:rsidP="00BA32DB"/>
    <w:p w:rsidR="00F55BFD" w:rsidRPr="00E5542A" w:rsidRDefault="00F55BFD" w:rsidP="00F55BFD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</w:rPr>
        <w:t>V.</w:t>
      </w:r>
    </w:p>
    <w:p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Trvání a platnost smlouvy</w:t>
      </w:r>
    </w:p>
    <w:p w:rsidR="00970AFA" w:rsidRDefault="00970AFA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Pr="00E5542A" w:rsidRDefault="00CA0BD3" w:rsidP="00832E79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contextualSpacing w:val="0"/>
      </w:pPr>
      <w:r>
        <w:t>T</w:t>
      </w:r>
      <w:r w:rsidR="00BA32DB">
        <w:t>ato smlouva se uzavírá na dobu 48 měsíců</w:t>
      </w:r>
      <w:r>
        <w:t xml:space="preserve"> od podpisu smlouvy nebo do vyčerpání celkové ceny podle čl. </w:t>
      </w:r>
      <w:r w:rsidR="00F55BFD">
        <w:t>III, odst. 2.</w:t>
      </w:r>
      <w:r w:rsidR="00BA32DB">
        <w:t xml:space="preserve"> této smlouvy.</w:t>
      </w:r>
    </w:p>
    <w:p w:rsidR="00907514" w:rsidRPr="00E5542A" w:rsidRDefault="00F55BFD" w:rsidP="00832E7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</w:pPr>
      <w:r>
        <w:t>Smluvní strany mohou ukončit platnost smlouvy výpovědí</w:t>
      </w:r>
      <w:r w:rsidR="00907514" w:rsidRPr="00E5542A">
        <w:t xml:space="preserve"> i bez udání důvodů v </w:t>
      </w:r>
      <w:r w:rsidR="00BA32DB">
        <w:t>tří</w:t>
      </w:r>
      <w:r w:rsidR="00907514" w:rsidRPr="00E5542A">
        <w:t>měsíční výpovědní lhůtě, která začíná běžet prvním dnem měsíce následujícího po doručení písemné výpovědi druhé smluvní straně.</w:t>
      </w:r>
    </w:p>
    <w:p w:rsidR="00907514" w:rsidRPr="00E5542A" w:rsidRDefault="00907514" w:rsidP="00907514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Objednatel může od sm</w:t>
      </w:r>
      <w:r w:rsidR="00BA32DB">
        <w:t>louvy odstoupit, pokud dodavatel</w:t>
      </w:r>
      <w:r w:rsidRPr="00E5542A">
        <w:t xml:space="preserve"> závažným způsobem poruší některé ustanovení této smlouvy. Odstoupení musí objednatel učinit písemně a jeho účinky nast</w:t>
      </w:r>
      <w:r w:rsidR="0013098B">
        <w:t>ávají okamžikem doručení dodava</w:t>
      </w:r>
      <w:r w:rsidRPr="00E5542A">
        <w:t>teli.</w:t>
      </w:r>
    </w:p>
    <w:p w:rsidR="00907514" w:rsidRDefault="00907514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832E79" w:rsidRDefault="00832E79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832E79" w:rsidRDefault="00832E79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832E79" w:rsidRPr="00E5542A" w:rsidRDefault="00832E79" w:rsidP="00907514">
      <w:pPr>
        <w:widowControl w:val="0"/>
        <w:autoSpaceDE w:val="0"/>
        <w:autoSpaceDN w:val="0"/>
        <w:adjustRightInd w:val="0"/>
        <w:rPr>
          <w:b/>
          <w:lang w:val="en-US"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 w:rsidRPr="00E5542A">
        <w:rPr>
          <w:b/>
          <w:lang w:val="en-US"/>
        </w:rPr>
        <w:t>VI.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Povinnosti dodavatele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Pr="00E5542A" w:rsidRDefault="00907514" w:rsidP="00832E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E5542A">
        <w:t xml:space="preserve">Všechny dodávky musí být poskytnuty objednateli v požadovaném rozsahu, a to bez jakéhokoliv omezení; dodavatel nebude oprávněn doúčtovat objednateli jakékoli dodatečné práce, služby či dodávky, které budou nezbytné pro řádné splnění dílčího předmětu smlouvy, a to např. i z důvodu, že dodavatel chybně odhadl nabídkovou (smluvní) cenu. </w:t>
      </w:r>
    </w:p>
    <w:p w:rsidR="00907514" w:rsidRPr="00E5542A" w:rsidRDefault="00907514" w:rsidP="00832E7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E5542A">
        <w:lastRenderedPageBreak/>
        <w:t>Veškeré činnosti je dodavatel povinen provádět s náležitou péčí a odbornou způsobilostí. Všechny služby musí být poskytnuty v požadovaném rozsahu, a to bez jakéhokoliv omezení.</w:t>
      </w:r>
    </w:p>
    <w:p w:rsidR="00907514" w:rsidRPr="00E5542A" w:rsidRDefault="00907514" w:rsidP="00907514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426" w:hanging="426"/>
        <w:contextualSpacing/>
        <w:jc w:val="both"/>
      </w:pPr>
      <w:r w:rsidRPr="00E5542A">
        <w:t>Dodavatel odpovídá za všechny škody vzniklé jeho činností při plnění předmětu smlouvy.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  <w:ind w:left="426"/>
        <w:contextualSpacing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5542A">
        <w:rPr>
          <w:b/>
        </w:rPr>
        <w:t>VII.</w:t>
      </w:r>
    </w:p>
    <w:p w:rsidR="00907514" w:rsidRPr="00E5542A" w:rsidRDefault="00AE366C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>
        <w:rPr>
          <w:b/>
          <w:u w:val="single"/>
        </w:rPr>
        <w:t>Mlčenlivost</w:t>
      </w:r>
    </w:p>
    <w:p w:rsidR="00907514" w:rsidRPr="00E5542A" w:rsidRDefault="00907514" w:rsidP="00907514">
      <w:pPr>
        <w:ind w:left="360"/>
        <w:jc w:val="both"/>
      </w:pPr>
    </w:p>
    <w:p w:rsidR="00AE366C" w:rsidRPr="00AE366C" w:rsidRDefault="00AE366C" w:rsidP="00AE366C">
      <w:pPr>
        <w:pStyle w:val="Odstavecseseznamem"/>
        <w:numPr>
          <w:ilvl w:val="1"/>
          <w:numId w:val="9"/>
        </w:numPr>
        <w:spacing w:after="120"/>
        <w:ind w:left="426"/>
        <w:jc w:val="both"/>
        <w:rPr>
          <w:bCs/>
        </w:rPr>
      </w:pPr>
      <w:r w:rsidRPr="00AE366C">
        <w:rPr>
          <w:bCs/>
        </w:rPr>
        <w:t xml:space="preserve">Není-li dále stanoveno jinak, je dodavatel povinen během plnění této smlouvy i po uplynutí doby, na kterou je tato smlouva uzavřena, zachovávat mlčenlivost o všech skutečnostech, o kterých se dozví v souvislosti s  plněním této smlouvy, zejména o skutečnostech majících charakter obchodního tajemství objednatele, dále informace a skutečnosti, jejichž uveřejnění navenek by se mohlo dotknout zájmů nebo dobrého jména objednatele atp. Této povinnosti může dodavatele zprostit pouze předem a písemně objednatel. </w:t>
      </w:r>
    </w:p>
    <w:p w:rsidR="00AE366C" w:rsidRPr="007D57E5" w:rsidRDefault="00AE366C" w:rsidP="00AE366C">
      <w:pPr>
        <w:numPr>
          <w:ilvl w:val="1"/>
          <w:numId w:val="9"/>
        </w:numPr>
        <w:spacing w:after="120"/>
        <w:ind w:left="426" w:hanging="426"/>
        <w:jc w:val="both"/>
        <w:rPr>
          <w:bCs/>
        </w:rPr>
      </w:pPr>
      <w:r>
        <w:rPr>
          <w:bCs/>
        </w:rPr>
        <w:t>Dodavatel</w:t>
      </w:r>
      <w:r w:rsidRPr="007D57E5">
        <w:t xml:space="preserve"> se zavazuje, že pokud v souvislosti s realizací této smlouvy přijde on, jeho pověření zaměstnanci nebo osoby, které </w:t>
      </w:r>
      <w:r>
        <w:t xml:space="preserve">oprávněně </w:t>
      </w:r>
      <w:r w:rsidRPr="007D57E5">
        <w:t xml:space="preserve">pověřil prováděním </w:t>
      </w:r>
      <w:r>
        <w:t>povinností dle této smlouvy</w:t>
      </w:r>
      <w:r w:rsidRPr="007D57E5">
        <w:t xml:space="preserve"> do styku s osobními nebo citlivými údaji ve smyslu zákona č. 101/2000 Sb., o ochraně osobních údajů, ve znění pozdějších předpisů, učiní veškerá opatření, aby nedošlo k neoprávněnému nebo nahodilému přístupu k těmto údajům, k jejich změně, zničení či ztrátě, neoprávněným přenosům, k jejich jinému neoprávněnému zpracování, jakož aby i jinak neporušil zákon č.101/2000 Sb. </w:t>
      </w:r>
      <w:r>
        <w:t>Dodavatel</w:t>
      </w:r>
      <w:r w:rsidRPr="007D57E5">
        <w:t xml:space="preserve"> je povinen zachovávat mlčenlivost o osobních údajích a o bezpečnostních opatřeních, jejichž zveřejnění by ohrozilo zabezpečení osobních údajů. Povinnost mlčenlivosti trvá i po ukončení této smlouvy.</w:t>
      </w:r>
    </w:p>
    <w:p w:rsidR="00AE366C" w:rsidRPr="007D57E5" w:rsidRDefault="00AE366C" w:rsidP="00AE366C">
      <w:pPr>
        <w:numPr>
          <w:ilvl w:val="1"/>
          <w:numId w:val="9"/>
        </w:numPr>
        <w:spacing w:after="120"/>
        <w:ind w:left="426" w:hanging="426"/>
        <w:jc w:val="both"/>
        <w:rPr>
          <w:bCs/>
        </w:rPr>
      </w:pPr>
      <w:r w:rsidRPr="00EB7493">
        <w:rPr>
          <w:bCs/>
        </w:rPr>
        <w:t>Povinnost</w:t>
      </w:r>
      <w:r w:rsidRPr="007D57E5">
        <w:t xml:space="preserve"> m</w:t>
      </w:r>
      <w:r>
        <w:t>l</w:t>
      </w:r>
      <w:r w:rsidRPr="007D57E5">
        <w:t xml:space="preserve">čenlivosti a závazek k ochraně informací dle čl. </w:t>
      </w:r>
      <w:r>
        <w:t>VII</w:t>
      </w:r>
      <w:r w:rsidRPr="007D57E5">
        <w:t xml:space="preserve">.1. a </w:t>
      </w:r>
      <w:proofErr w:type="gramStart"/>
      <w:r>
        <w:t>VII</w:t>
      </w:r>
      <w:r w:rsidRPr="007D57E5">
        <w:t>.2. se</w:t>
      </w:r>
      <w:proofErr w:type="gramEnd"/>
      <w:r w:rsidRPr="007D57E5">
        <w:t xml:space="preserve"> nevztahuje na</w:t>
      </w:r>
      <w:r>
        <w:t>:</w:t>
      </w:r>
    </w:p>
    <w:p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které se staly veřejně přístupnými, pokud se tak nestalo porušením povinnosti jejich ochrany,</w:t>
      </w:r>
    </w:p>
    <w:p w:rsidR="00AE366C" w:rsidRPr="007D57E5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>
        <w:t xml:space="preserve">informace </w:t>
      </w:r>
      <w:r w:rsidRPr="00260C78">
        <w:t xml:space="preserve">poskytnuté zaměstnancům, statutárním orgánům, jejich členům či prokuristům </w:t>
      </w:r>
      <w:r>
        <w:t>dodavatele</w:t>
      </w:r>
      <w:r w:rsidRPr="00260C78">
        <w:t xml:space="preserve"> a jeho subdodavatelům podílejícím se n</w:t>
      </w:r>
      <w:r w:rsidRPr="006C778E">
        <w:t xml:space="preserve">a plnění dle této </w:t>
      </w:r>
      <w:r>
        <w:t>s</w:t>
      </w:r>
      <w:r w:rsidRPr="006C778E">
        <w:t xml:space="preserve">mlouvy, a to v rozsahu nezbytně nutném pro řádné plnění této </w:t>
      </w:r>
      <w:r>
        <w:t>s</w:t>
      </w:r>
      <w:r w:rsidRPr="006C778E">
        <w:t xml:space="preserve">mlouvy těmito osobami, a dále svým právním zástupcům a daňovým poradcům; v takovém případě je </w:t>
      </w:r>
      <w:r>
        <w:t xml:space="preserve">dodavatel </w:t>
      </w:r>
      <w:r w:rsidRPr="006C778E">
        <w:t>povinen zabezpečit povinnost těchto osob zachovávat mlčenlivost vůči třetím osobám v rozsahu poskytnutých informací</w:t>
      </w:r>
      <w:r>
        <w:t>,</w:t>
      </w:r>
    </w:p>
    <w:p w:rsidR="00AE366C" w:rsidRDefault="00AE366C" w:rsidP="00AE366C">
      <w:pPr>
        <w:numPr>
          <w:ilvl w:val="0"/>
          <w:numId w:val="18"/>
        </w:numPr>
        <w:spacing w:after="120"/>
        <w:contextualSpacing/>
        <w:jc w:val="both"/>
      </w:pPr>
      <w:r w:rsidRPr="007D57E5">
        <w:t>informace, u kterých povinnost jejich zpřístupnění ukládá právní předpis.</w:t>
      </w:r>
    </w:p>
    <w:p w:rsidR="00AE366C" w:rsidRPr="007D57E5" w:rsidRDefault="00AE366C" w:rsidP="00AE366C">
      <w:pPr>
        <w:jc w:val="both"/>
        <w:rPr>
          <w:bCs/>
        </w:rPr>
      </w:pPr>
    </w:p>
    <w:p w:rsidR="00AE366C" w:rsidRPr="00094445" w:rsidRDefault="00AE366C" w:rsidP="00AE366C">
      <w:pPr>
        <w:numPr>
          <w:ilvl w:val="1"/>
          <w:numId w:val="9"/>
        </w:numPr>
        <w:spacing w:after="120"/>
        <w:ind w:left="426" w:hanging="426"/>
        <w:jc w:val="both"/>
      </w:pPr>
      <w:r>
        <w:rPr>
          <w:bCs/>
        </w:rPr>
        <w:t>Dodavatel</w:t>
      </w:r>
      <w:r w:rsidRPr="007D57E5">
        <w:rPr>
          <w:bCs/>
        </w:rPr>
        <w:t xml:space="preserve"> se zavazuje uhradit </w:t>
      </w:r>
      <w:r>
        <w:rPr>
          <w:bCs/>
        </w:rPr>
        <w:t>objednateli</w:t>
      </w:r>
      <w:r w:rsidRPr="007D57E5">
        <w:rPr>
          <w:bCs/>
        </w:rPr>
        <w:t xml:space="preserve"> či třetí straně, kterou porušením povinnosti mlčenlivosti poškodí, veškeré škody tímto porušením způsobené. Povinnosti </w:t>
      </w:r>
      <w:r>
        <w:rPr>
          <w:bCs/>
        </w:rPr>
        <w:t>dodavatele</w:t>
      </w:r>
      <w:r w:rsidRPr="007D57E5">
        <w:rPr>
          <w:bCs/>
        </w:rPr>
        <w:t xml:space="preserve"> vyplývající z ustanovení příslušných právních předpisů o ochraně utajovaných informací nejsou ustanoveními tohoto článku dotčeny.</w:t>
      </w:r>
    </w:p>
    <w:p w:rsidR="00AE366C" w:rsidRDefault="00AE366C" w:rsidP="00AE366C">
      <w:pPr>
        <w:numPr>
          <w:ilvl w:val="1"/>
          <w:numId w:val="9"/>
        </w:numPr>
        <w:spacing w:after="120"/>
        <w:ind w:left="426" w:hanging="426"/>
        <w:jc w:val="both"/>
        <w:rPr>
          <w:bCs/>
        </w:rPr>
      </w:pPr>
      <w:r w:rsidRPr="00094445">
        <w:rPr>
          <w:bCs/>
        </w:rPr>
        <w:t xml:space="preserve">Budou-li informace, o nichž se </w:t>
      </w:r>
      <w:r>
        <w:rPr>
          <w:bCs/>
        </w:rPr>
        <w:t>dodavatel</w:t>
      </w:r>
      <w:r w:rsidRPr="00094445">
        <w:rPr>
          <w:bCs/>
        </w:rPr>
        <w:t xml:space="preserve"> dozví nebo má dozvědět při plnění smlouvy nebo v její souvislosti, obsahovat data podléhající režimu zvláštní ochrany podle zákona č. 101/2000 Sb., o ochraně osobních údajů a o změně některých zákonů, ve znění pozdějších předpisů, zavazuje se </w:t>
      </w:r>
      <w:r>
        <w:rPr>
          <w:bCs/>
        </w:rPr>
        <w:t>dodavatel</w:t>
      </w:r>
      <w:r w:rsidRPr="00094445">
        <w:rPr>
          <w:bCs/>
        </w:rPr>
        <w:t xml:space="preserve"> zabezpečit </w:t>
      </w:r>
      <w:r>
        <w:rPr>
          <w:bCs/>
        </w:rPr>
        <w:t xml:space="preserve">řádně a včas </w:t>
      </w:r>
      <w:r w:rsidRPr="00094445">
        <w:rPr>
          <w:bCs/>
        </w:rPr>
        <w:t xml:space="preserve">splnění všech ohlašovacích povinností, které citovaný zákon vyžaduje, a je-li to nutné, včas písemně informovat </w:t>
      </w:r>
      <w:r>
        <w:rPr>
          <w:bCs/>
        </w:rPr>
        <w:t>objednatele</w:t>
      </w:r>
      <w:r w:rsidRPr="00094445">
        <w:rPr>
          <w:bCs/>
        </w:rPr>
        <w:t xml:space="preserve"> o potřebě zajistit předepsané souhlasy subjektů osobních údajů se zpracováním údajů</w:t>
      </w:r>
      <w:r>
        <w:rPr>
          <w:bCs/>
        </w:rPr>
        <w:t xml:space="preserve"> a poskytnout další nezbytnou součinnost</w:t>
      </w:r>
      <w:r w:rsidRPr="00094445">
        <w:rPr>
          <w:bCs/>
        </w:rPr>
        <w:t>. T</w:t>
      </w:r>
      <w:r>
        <w:rPr>
          <w:bCs/>
        </w:rPr>
        <w:t>éto povinnosti</w:t>
      </w:r>
      <w:r w:rsidRPr="00094445">
        <w:rPr>
          <w:bCs/>
        </w:rPr>
        <w:t xml:space="preserve"> se </w:t>
      </w:r>
      <w:r>
        <w:rPr>
          <w:bCs/>
        </w:rPr>
        <w:t xml:space="preserve">dodavatel </w:t>
      </w:r>
      <w:r w:rsidRPr="00094445">
        <w:rPr>
          <w:bCs/>
        </w:rPr>
        <w:t>nemůže zprostit.</w:t>
      </w:r>
    </w:p>
    <w:p w:rsidR="00AE366C" w:rsidRDefault="00AE366C" w:rsidP="00AE366C">
      <w:pPr>
        <w:numPr>
          <w:ilvl w:val="1"/>
          <w:numId w:val="9"/>
        </w:numPr>
        <w:spacing w:after="120"/>
        <w:ind w:left="426" w:hanging="426"/>
        <w:jc w:val="both"/>
        <w:rPr>
          <w:bCs/>
        </w:rPr>
      </w:pPr>
      <w:r w:rsidRPr="00A91D13">
        <w:rPr>
          <w:bCs/>
        </w:rPr>
        <w:t xml:space="preserve">Smluvní strany berou na vědomí, že tato smlouva podléhá uveřejnění podle zákona č. 340/2015 Sb., o zvláštních podmínkách účinnosti některých smluv, uveřejňování těchto smluv a o registru smluv. Smluvní strany výslovně souhlasí s tím, že tato smlouva bude uveřejněna v registru smluv bez jakýchkoliv omezení, a to včetně případných příloh a dodatků. Smluvní strany </w:t>
      </w:r>
      <w:r w:rsidRPr="00A91D13">
        <w:rPr>
          <w:bCs/>
        </w:rPr>
        <w:lastRenderedPageBreak/>
        <w:t>prohlašují, že skutečnosti uvedené v této smlouvě nepovažují za obchodní tajemství ve smyslu ustanovení platných právních předpisů a udělují svolení k jejich užití a uveřejnění bez stanovení jakýchkoliv dalších podmínek či omezení.</w:t>
      </w:r>
    </w:p>
    <w:p w:rsidR="00AE366C" w:rsidRDefault="00AE366C" w:rsidP="00AE366C">
      <w:pPr>
        <w:spacing w:after="120"/>
        <w:ind w:left="567"/>
        <w:jc w:val="both"/>
        <w:rPr>
          <w:bCs/>
        </w:rPr>
      </w:pPr>
    </w:p>
    <w:p w:rsidR="00AE366C" w:rsidRP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VIII</w:t>
      </w:r>
    </w:p>
    <w:p w:rsidR="00AE366C" w:rsidRDefault="00AE366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AE366C">
        <w:rPr>
          <w:b/>
          <w:u w:val="single"/>
        </w:rPr>
        <w:t>Sankční ujednání</w:t>
      </w:r>
    </w:p>
    <w:p w:rsidR="00F870CC" w:rsidRDefault="00F870CC" w:rsidP="00AE366C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AE366C" w:rsidRPr="007D57E5" w:rsidRDefault="00AE366C" w:rsidP="00832E79">
      <w:pPr>
        <w:pStyle w:val="Odstavecseseznamem"/>
        <w:numPr>
          <w:ilvl w:val="0"/>
          <w:numId w:val="19"/>
        </w:numPr>
        <w:spacing w:after="120"/>
        <w:ind w:left="215" w:hanging="357"/>
        <w:contextualSpacing w:val="0"/>
        <w:jc w:val="both"/>
      </w:pPr>
      <w:r w:rsidRPr="007D57E5">
        <w:t xml:space="preserve">V případě, že </w:t>
      </w:r>
      <w:r>
        <w:t>objednatel</w:t>
      </w:r>
      <w:r w:rsidRPr="007D57E5">
        <w:t xml:space="preserve"> bude v prodlení se zaplacením </w:t>
      </w:r>
      <w:r>
        <w:t xml:space="preserve">oprávněně vystavené </w:t>
      </w:r>
      <w:r w:rsidRPr="007D57E5">
        <w:t xml:space="preserve">faktury </w:t>
      </w:r>
      <w:r>
        <w:t>dodavateli</w:t>
      </w:r>
      <w:r w:rsidRPr="007D57E5">
        <w:t xml:space="preserve">, je </w:t>
      </w:r>
      <w:r>
        <w:t>objednatel</w:t>
      </w:r>
      <w:r w:rsidRPr="007D57E5">
        <w:t xml:space="preserve"> povinen zaplatit </w:t>
      </w:r>
      <w:r>
        <w:t>dodavateli</w:t>
      </w:r>
      <w:r w:rsidRPr="007D57E5">
        <w:t xml:space="preserve"> </w:t>
      </w:r>
      <w:r>
        <w:t>úrok z prodlení v zákonné výši</w:t>
      </w:r>
      <w:r w:rsidRPr="007D57E5">
        <w:t>.</w:t>
      </w:r>
    </w:p>
    <w:p w:rsidR="00F870CC" w:rsidRPr="007D57E5" w:rsidRDefault="00AE366C" w:rsidP="00832E79">
      <w:pPr>
        <w:pStyle w:val="Odstavecseseznamem"/>
        <w:numPr>
          <w:ilvl w:val="0"/>
          <w:numId w:val="19"/>
        </w:numPr>
        <w:spacing w:after="120"/>
        <w:ind w:left="215" w:hanging="357"/>
        <w:contextualSpacing w:val="0"/>
        <w:jc w:val="both"/>
      </w:pPr>
      <w:r w:rsidRPr="00906A94">
        <w:t>Za</w:t>
      </w:r>
      <w:r w:rsidRPr="007D57E5">
        <w:t xml:space="preserve"> porušení p</w:t>
      </w:r>
      <w:r w:rsidR="0081380D">
        <w:t xml:space="preserve">ovinnosti mlčenlivosti dle čl. </w:t>
      </w:r>
      <w:proofErr w:type="gramStart"/>
      <w:r w:rsidR="0081380D">
        <w:t>VII</w:t>
      </w:r>
      <w:r w:rsidRPr="007D57E5">
        <w:t>.1.</w:t>
      </w:r>
      <w:r>
        <w:t xml:space="preserve"> této</w:t>
      </w:r>
      <w:proofErr w:type="gramEnd"/>
      <w:r>
        <w:t xml:space="preserve"> smlouvy</w:t>
      </w:r>
      <w:r w:rsidRPr="007D57E5">
        <w:t xml:space="preserve"> </w:t>
      </w:r>
      <w:r>
        <w:t>s</w:t>
      </w:r>
      <w:r w:rsidRPr="007D57E5">
        <w:t xml:space="preserve">e </w:t>
      </w:r>
      <w:r>
        <w:t>dodavatel</w:t>
      </w:r>
      <w:r w:rsidRPr="007D57E5">
        <w:t xml:space="preserve"> </w:t>
      </w:r>
      <w:r>
        <w:t>zavazuje</w:t>
      </w:r>
      <w:r w:rsidRPr="007D57E5">
        <w:t xml:space="preserve"> </w:t>
      </w:r>
      <w:r>
        <w:t>zaplatit</w:t>
      </w:r>
      <w:r w:rsidRPr="007D57E5">
        <w:t xml:space="preserve"> </w:t>
      </w:r>
      <w:r>
        <w:t>objednateli</w:t>
      </w:r>
      <w:r w:rsidRPr="007D57E5">
        <w:t xml:space="preserve"> smluvní pokutu ve výš</w:t>
      </w:r>
      <w:r>
        <w:t xml:space="preserve">i 50.000,- </w:t>
      </w:r>
      <w:r w:rsidRPr="007D57E5">
        <w:t xml:space="preserve">Kč za každý jednotlivý případ, a to i v případě, že k porušení povinnosti dojde po </w:t>
      </w:r>
      <w:r>
        <w:t>řádném dodání plnění dle</w:t>
      </w:r>
      <w:r w:rsidRPr="007D57E5">
        <w:t xml:space="preserve"> této smlouvy</w:t>
      </w:r>
      <w:r>
        <w:t>.</w:t>
      </w:r>
    </w:p>
    <w:p w:rsidR="0081380D" w:rsidRPr="007D57E5" w:rsidRDefault="00AE366C" w:rsidP="0081380D">
      <w:pPr>
        <w:pStyle w:val="Odstavecseseznamem"/>
        <w:numPr>
          <w:ilvl w:val="0"/>
          <w:numId w:val="19"/>
        </w:numPr>
        <w:spacing w:after="120"/>
        <w:ind w:left="215" w:hanging="357"/>
        <w:contextualSpacing w:val="0"/>
        <w:jc w:val="both"/>
      </w:pPr>
      <w:r w:rsidRPr="00906A94">
        <w:t>Za</w:t>
      </w:r>
      <w:r w:rsidRPr="007D57E5">
        <w:t xml:space="preserve"> porušení povinnosti ochrany osobních údajů dle čl. </w:t>
      </w:r>
      <w:proofErr w:type="gramStart"/>
      <w:r w:rsidR="0081380D">
        <w:t>VII</w:t>
      </w:r>
      <w:r w:rsidRPr="007D57E5">
        <w:t xml:space="preserve">.2. </w:t>
      </w:r>
      <w:r>
        <w:t>této</w:t>
      </w:r>
      <w:proofErr w:type="gramEnd"/>
      <w:r>
        <w:t xml:space="preserve"> smlouvy a/nebo</w:t>
      </w:r>
      <w:r w:rsidRPr="00F870CC">
        <w:rPr>
          <w:bCs/>
        </w:rPr>
        <w:t xml:space="preserve"> porušení povinnosti zabezpečit </w:t>
      </w:r>
      <w:r w:rsidR="0081380D">
        <w:rPr>
          <w:bCs/>
        </w:rPr>
        <w:t>dle čl. VII</w:t>
      </w:r>
      <w:r w:rsidRPr="00F870CC">
        <w:rPr>
          <w:bCs/>
        </w:rPr>
        <w:t>.5 této smlouvy řádně a včas splnění všech ohlašovacích povinností, které zákon č. 101/2000 Sb., o ochraně osobních údajů a o změně některých zákonů, ve znění pozdějších předpisů,</w:t>
      </w:r>
      <w:r>
        <w:t xml:space="preserve"> požaduje,</w:t>
      </w:r>
      <w:r w:rsidRPr="007D57E5">
        <w:t xml:space="preserve"> </w:t>
      </w:r>
      <w:r>
        <w:t>se</w:t>
      </w:r>
      <w:r w:rsidRPr="007D57E5">
        <w:t xml:space="preserve"> </w:t>
      </w:r>
      <w:r>
        <w:t>zavazuje</w:t>
      </w:r>
      <w:r w:rsidRPr="007D57E5">
        <w:t xml:space="preserve"> </w:t>
      </w:r>
      <w:r>
        <w:t>dodavatel</w:t>
      </w:r>
      <w:r w:rsidRPr="007D57E5">
        <w:t xml:space="preserve"> </w:t>
      </w:r>
      <w:r>
        <w:t xml:space="preserve">zaplatit objednateli smluvní pokutu ve výši 50.000,- </w:t>
      </w:r>
      <w:r w:rsidRPr="007D57E5">
        <w:t>Kč za každý jednotlivý případ</w:t>
      </w:r>
      <w:r>
        <w:t xml:space="preserve"> porušení</w:t>
      </w:r>
      <w:r w:rsidRPr="007D57E5">
        <w:t xml:space="preserve">, a to i v případě, že k porušení povinnosti dojde po </w:t>
      </w:r>
      <w:r>
        <w:t>řádném dodání plnění dle</w:t>
      </w:r>
      <w:r w:rsidRPr="007D57E5">
        <w:t xml:space="preserve"> této smlouvy.</w:t>
      </w:r>
    </w:p>
    <w:p w:rsidR="00AE366C" w:rsidRPr="005D36F0" w:rsidRDefault="00AE366C" w:rsidP="0081380D">
      <w:pPr>
        <w:pStyle w:val="Odstavecseseznamem"/>
        <w:numPr>
          <w:ilvl w:val="0"/>
          <w:numId w:val="19"/>
        </w:numPr>
        <w:spacing w:after="120"/>
        <w:ind w:left="215" w:hanging="357"/>
        <w:contextualSpacing w:val="0"/>
        <w:jc w:val="both"/>
      </w:pPr>
      <w:r w:rsidRPr="00906A94">
        <w:t>Tuto</w:t>
      </w:r>
      <w:r w:rsidRPr="005D36F0">
        <w:t xml:space="preserve"> smlouvu je možné předčasně ukončit dohodou smluvních stran nebo odstoupením některé ze smluvních stran výhradně za podmínek dle této smlouvy. </w:t>
      </w:r>
      <w:r>
        <w:t xml:space="preserve">Smluvní strana je oprávněna odstoupit od této smlouvy v případě, že druhá smluvní strana podstatným způsobem </w:t>
      </w:r>
      <w:r w:rsidRPr="002D02D4">
        <w:t>poruší</w:t>
      </w:r>
      <w:r w:rsidRPr="002D02D4" w:rsidDel="00260C78">
        <w:t xml:space="preserve"> </w:t>
      </w:r>
      <w:r w:rsidRPr="002D02D4">
        <w:t>tuto smlouv</w:t>
      </w:r>
      <w:r>
        <w:t>u</w:t>
      </w:r>
      <w:r w:rsidRPr="002D02D4">
        <w:t>.</w:t>
      </w:r>
    </w:p>
    <w:p w:rsidR="00AE366C" w:rsidRDefault="00AE366C" w:rsidP="0081380D">
      <w:pPr>
        <w:pStyle w:val="Odstavecseseznamem"/>
        <w:numPr>
          <w:ilvl w:val="0"/>
          <w:numId w:val="19"/>
        </w:numPr>
        <w:spacing w:after="120"/>
        <w:jc w:val="both"/>
      </w:pPr>
      <w:r w:rsidRPr="00906A94">
        <w:t>Za</w:t>
      </w:r>
      <w:r w:rsidRPr="007D57E5">
        <w:t xml:space="preserve"> podstatné porušení </w:t>
      </w:r>
      <w:r>
        <w:t xml:space="preserve">této smlouvy dodavatelem se </w:t>
      </w:r>
      <w:r w:rsidRPr="007D57E5">
        <w:t xml:space="preserve">považuje zejména </w:t>
      </w:r>
      <w:r>
        <w:t>následující</w:t>
      </w:r>
      <w:r w:rsidRPr="007D57E5">
        <w:t>:</w:t>
      </w:r>
    </w:p>
    <w:p w:rsidR="00AE366C" w:rsidRDefault="00AE366C" w:rsidP="0081380D">
      <w:pPr>
        <w:pStyle w:val="Odstavecseseznamem"/>
        <w:spacing w:after="120"/>
        <w:ind w:left="567"/>
        <w:jc w:val="both"/>
      </w:pPr>
      <w:r>
        <w:t>- v případě že služba nebude plněna dle čl</w:t>
      </w:r>
      <w:r w:rsidR="0081380D">
        <w:t>. I</w:t>
      </w:r>
      <w:r>
        <w:t xml:space="preserve"> smlouvy,</w:t>
      </w:r>
    </w:p>
    <w:p w:rsidR="00AE366C" w:rsidRDefault="0081380D" w:rsidP="00AE366C">
      <w:pPr>
        <w:pStyle w:val="Odstavecseseznamem"/>
        <w:spacing w:after="120"/>
        <w:ind w:left="360"/>
        <w:contextualSpacing w:val="0"/>
        <w:jc w:val="both"/>
      </w:pPr>
      <w:r>
        <w:t xml:space="preserve">    - porušení článku VI</w:t>
      </w:r>
      <w:r w:rsidR="00AE366C">
        <w:t>. smlouvy.</w:t>
      </w:r>
    </w:p>
    <w:p w:rsidR="00AE366C" w:rsidRDefault="00AE366C" w:rsidP="0081380D">
      <w:pPr>
        <w:numPr>
          <w:ilvl w:val="1"/>
          <w:numId w:val="9"/>
        </w:numPr>
        <w:spacing w:after="120"/>
        <w:ind w:left="284"/>
        <w:jc w:val="both"/>
      </w:pPr>
      <w:r w:rsidRPr="00260C78">
        <w:t xml:space="preserve">Za podstatné porušení </w:t>
      </w:r>
      <w:r>
        <w:t xml:space="preserve">této smlouvy objednatelem se </w:t>
      </w:r>
      <w:r w:rsidRPr="00427FAE">
        <w:t>považuje výhradně prodlení</w:t>
      </w:r>
      <w:r w:rsidRPr="00260C78">
        <w:t xml:space="preserve"> </w:t>
      </w:r>
      <w:r>
        <w:t>objednatele</w:t>
      </w:r>
      <w:r w:rsidRPr="00260C78">
        <w:t xml:space="preserve"> s úhradou platby dle řádně vystavené faktury </w:t>
      </w:r>
      <w:r>
        <w:t>o více</w:t>
      </w:r>
      <w:r w:rsidRPr="00260C78">
        <w:t xml:space="preserve"> než </w:t>
      </w:r>
      <w:r>
        <w:t>3</w:t>
      </w:r>
      <w:r w:rsidRPr="00260C78">
        <w:t>0 dnů</w:t>
      </w:r>
      <w:r>
        <w:t xml:space="preserve"> a/nebo prodlení objednatele s poskytnutím součinnosti o více jak 30 dnů ode dne doručení druhé opakované písemné výzvy dodavatele, ve které byla znovu podrobně specifikována požadovaná nezbytná součinnost.</w:t>
      </w:r>
    </w:p>
    <w:p w:rsidR="00AE366C" w:rsidRDefault="00AE366C" w:rsidP="0081380D">
      <w:pPr>
        <w:keepNext/>
        <w:numPr>
          <w:ilvl w:val="1"/>
          <w:numId w:val="9"/>
        </w:numPr>
        <w:spacing w:after="120"/>
        <w:ind w:left="284" w:hanging="426"/>
        <w:jc w:val="both"/>
      </w:pPr>
      <w:r w:rsidRPr="00955CBA">
        <w:t xml:space="preserve">V případě jiného než podstatného porušení smluvních povinností podle této </w:t>
      </w:r>
      <w:r>
        <w:t>s</w:t>
      </w:r>
      <w:r w:rsidRPr="00955CBA">
        <w:t xml:space="preserve">mlouvy ze strany </w:t>
      </w:r>
      <w:r>
        <w:t>dodavatel</w:t>
      </w:r>
      <w:r w:rsidRPr="001238C9">
        <w:t>e</w:t>
      </w:r>
      <w:r w:rsidRPr="00955CBA">
        <w:t xml:space="preserve"> se </w:t>
      </w:r>
      <w:r>
        <w:t>objednatel zavazuje poskytnout dodavateli</w:t>
      </w:r>
      <w:r w:rsidRPr="00955CBA">
        <w:t xml:space="preserve"> dodatečnou lhůtu </w:t>
      </w:r>
      <w:r>
        <w:t>1 dne</w:t>
      </w:r>
      <w:r w:rsidRPr="00955CBA">
        <w:t xml:space="preserve"> ke splnění jeho povinnosti. V případě nesplnění smluvních povinností </w:t>
      </w:r>
      <w:r>
        <w:t>dodavatelem</w:t>
      </w:r>
      <w:r w:rsidRPr="00955CBA">
        <w:t xml:space="preserve"> ani v takto dodatečně určené lhůtě se původně jiné než podstatné porušení smluvních povinností </w:t>
      </w:r>
      <w:r>
        <w:t xml:space="preserve">dodavatele </w:t>
      </w:r>
      <w:r w:rsidRPr="00955CBA">
        <w:t>dle této smlouvy považuje za podstatné porušení smlouvy.</w:t>
      </w:r>
      <w:r>
        <w:t xml:space="preserve"> </w:t>
      </w:r>
      <w:r w:rsidRPr="001238C9">
        <w:t>Objednatel</w:t>
      </w:r>
      <w:r w:rsidRPr="00955CBA">
        <w:t xml:space="preserve"> je dále oprávněn odstoupit od</w:t>
      </w:r>
      <w:r>
        <w:t xml:space="preserve"> této</w:t>
      </w:r>
      <w:r w:rsidRPr="00955CBA">
        <w:t xml:space="preserve"> smlouvy v případě, že vůči </w:t>
      </w:r>
      <w:r>
        <w:t>dodavateli</w:t>
      </w:r>
      <w:r w:rsidRPr="00955CBA">
        <w:t xml:space="preserve"> je zahájeno insolvenční řízení, </w:t>
      </w:r>
      <w:r>
        <w:t>dodavatel</w:t>
      </w:r>
      <w:r w:rsidRPr="00955CBA">
        <w:t xml:space="preserve"> je v úpadku, na jeho majetek </w:t>
      </w:r>
      <w:r>
        <w:t>je prohlášen konkurs nebo pokud dodavatel</w:t>
      </w:r>
      <w:r w:rsidRPr="00955CBA">
        <w:t xml:space="preserve"> vstoupí do likvidace</w:t>
      </w:r>
      <w:r>
        <w:t xml:space="preserve">. </w:t>
      </w:r>
      <w:r w:rsidRPr="001238C9">
        <w:t>Odstoupení</w:t>
      </w:r>
      <w:r w:rsidRPr="007D57E5">
        <w:t xml:space="preserve"> od smlouvy musí být </w:t>
      </w:r>
      <w:r>
        <w:t xml:space="preserve">učiněno </w:t>
      </w:r>
      <w:r w:rsidRPr="007D57E5">
        <w:t>písemn</w:t>
      </w:r>
      <w:r>
        <w:t>ě</w:t>
      </w:r>
      <w:r w:rsidRPr="007D57E5">
        <w:t>. Odstoupení je účinné ode dne, kdy bude doručeno druhé smluvní straně. V pochybnostech se má za to, že odstoupení bylo doručeno 5</w:t>
      </w:r>
      <w:r>
        <w:t>. dnem</w:t>
      </w:r>
      <w:r w:rsidRPr="007D57E5">
        <w:t xml:space="preserve"> od jeho odeslání v poštovní zásilce s</w:t>
      </w:r>
      <w:r>
        <w:t> </w:t>
      </w:r>
      <w:r w:rsidRPr="007D57E5">
        <w:t>doručenkou</w:t>
      </w:r>
      <w:r>
        <w:t xml:space="preserve"> na adresu dané smluvní strany </w:t>
      </w:r>
      <w:r w:rsidRPr="003C7DCE">
        <w:t xml:space="preserve">uvedenou v záhlaví této </w:t>
      </w:r>
      <w:r>
        <w:t>s</w:t>
      </w:r>
      <w:r w:rsidRPr="003C7DCE">
        <w:t xml:space="preserve">mlouvy nebo později písemně oznámenou druhé </w:t>
      </w:r>
      <w:r>
        <w:t>s</w:t>
      </w:r>
      <w:r w:rsidRPr="003C7DCE">
        <w:t>mluvní straně</w:t>
      </w:r>
      <w:r w:rsidRPr="007D57E5">
        <w:t>.</w:t>
      </w:r>
      <w:r w:rsidRPr="00955CBA">
        <w:t xml:space="preserve"> Odstoupením od </w:t>
      </w:r>
      <w:r>
        <w:t>této s</w:t>
      </w:r>
      <w:r w:rsidRPr="00955CBA">
        <w:t>mlouvy nezanikají povinnosti smluvních stran k náhradě újmy a k úhradě smluvních pokut za závazky, které byly porušeny některou ze smluvních stran před doručením oznámení o odstoupení a dále ty závazky, které mají vzhledem ke své povaze trvat i po skončení smlouvy</w:t>
      </w:r>
      <w:r>
        <w:t>, zejm. povinnost mlčenlivosti a ochrany osobních údajů</w:t>
      </w:r>
      <w:r w:rsidRPr="00955CBA">
        <w:t>.</w:t>
      </w:r>
    </w:p>
    <w:p w:rsidR="00AE366C" w:rsidRDefault="00AE366C" w:rsidP="0081380D">
      <w:pPr>
        <w:keepNext/>
        <w:numPr>
          <w:ilvl w:val="1"/>
          <w:numId w:val="9"/>
        </w:numPr>
        <w:spacing w:after="120"/>
        <w:ind w:left="284" w:hanging="426"/>
        <w:jc w:val="both"/>
      </w:pPr>
      <w:r w:rsidRPr="00CD1A09">
        <w:t>Smluvní pokuty dle této smlouvy jsou splatné do 30 (třiceti) dnů od doručení oprávněné výzvy k její úhradě spolu s fakturou vystavenou oprávněnou smluvní stranou. Uplatněním</w:t>
      </w:r>
      <w:r w:rsidRPr="00F97F1C">
        <w:t xml:space="preserve"> práva na zaplacení </w:t>
      </w:r>
      <w:r>
        <w:t xml:space="preserve">jakékoli </w:t>
      </w:r>
      <w:r w:rsidRPr="00F97F1C">
        <w:t xml:space="preserve">smluvní pokuty ani její úhradou dle této </w:t>
      </w:r>
      <w:r>
        <w:t>s</w:t>
      </w:r>
      <w:r w:rsidRPr="00F97F1C">
        <w:t xml:space="preserve">mlouvy není dotčeno ani omezeno </w:t>
      </w:r>
      <w:r w:rsidRPr="00F97F1C">
        <w:lastRenderedPageBreak/>
        <w:t xml:space="preserve">právo </w:t>
      </w:r>
      <w:r>
        <w:t xml:space="preserve">oprávněné smluvní strany </w:t>
      </w:r>
      <w:r w:rsidRPr="00F97F1C">
        <w:t xml:space="preserve">na náhradu újmy způsobené porušením povinnosti, na kterou se vztahuje </w:t>
      </w:r>
      <w:r>
        <w:t xml:space="preserve">daná </w:t>
      </w:r>
      <w:r w:rsidRPr="00F97F1C">
        <w:t xml:space="preserve">smluvní pokuta podle této </w:t>
      </w:r>
      <w:r>
        <w:t>s</w:t>
      </w:r>
      <w:r w:rsidRPr="00F97F1C">
        <w:t>mlouvy</w:t>
      </w:r>
      <w:r>
        <w:t>, v plné výši</w:t>
      </w:r>
      <w:r w:rsidRPr="00F97F1C">
        <w:t xml:space="preserve">. </w:t>
      </w:r>
    </w:p>
    <w:p w:rsidR="00AE366C" w:rsidRPr="003F64E3" w:rsidRDefault="00AE366C" w:rsidP="0081380D">
      <w:pPr>
        <w:numPr>
          <w:ilvl w:val="1"/>
          <w:numId w:val="9"/>
        </w:numPr>
        <w:spacing w:after="120"/>
        <w:ind w:left="284" w:hanging="426"/>
        <w:jc w:val="both"/>
      </w:pPr>
      <w:r w:rsidRPr="00375FF4">
        <w:t>Smluvní pokuty lze uložit opakovaně a za každý jednotlivý případ. Zaplacením smluvní pokuty není dotčeno právo smluvní strany na náhradu škody vzniklé porušením smluvní povinnosti, které se smluvní pokuta týká.</w:t>
      </w:r>
    </w:p>
    <w:p w:rsidR="00AE366C" w:rsidRDefault="00AE366C" w:rsidP="0081380D">
      <w:pPr>
        <w:numPr>
          <w:ilvl w:val="1"/>
          <w:numId w:val="9"/>
        </w:numPr>
        <w:spacing w:after="120"/>
        <w:ind w:left="284" w:hanging="426"/>
        <w:jc w:val="both"/>
      </w:pPr>
      <w:r>
        <w:t>Odstoupení od smlouvy musí být písemné, jinak je neplatné. O</w:t>
      </w:r>
      <w:r w:rsidR="0013098B">
        <w:t xml:space="preserve">dstoupení je účinné ode dne, </w:t>
      </w:r>
      <w:r>
        <w:t>kdy bude doručeno druhé smluvní straně. V pochybnostech se má za to, že odstoupení bylo doručeno do 5 dnů od jeho odeslání v poštovní zásilce s doručenkou.</w:t>
      </w:r>
    </w:p>
    <w:p w:rsidR="00907514" w:rsidRPr="00E5542A" w:rsidRDefault="00907514" w:rsidP="00F55BFD">
      <w:pPr>
        <w:widowControl w:val="0"/>
        <w:autoSpaceDE w:val="0"/>
        <w:autoSpaceDN w:val="0"/>
        <w:adjustRightInd w:val="0"/>
        <w:contextualSpacing/>
        <w:jc w:val="both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  <w:rPr>
          <w:lang w:val="en-US"/>
        </w:rPr>
      </w:pPr>
    </w:p>
    <w:p w:rsidR="00907514" w:rsidRPr="00E5542A" w:rsidRDefault="00F55BFD" w:rsidP="00907514">
      <w:pPr>
        <w:widowControl w:val="0"/>
        <w:autoSpaceDE w:val="0"/>
        <w:autoSpaceDN w:val="0"/>
        <w:adjustRightInd w:val="0"/>
        <w:jc w:val="center"/>
        <w:rPr>
          <w:b/>
          <w:lang w:val="en-US"/>
        </w:rPr>
      </w:pPr>
      <w:r>
        <w:rPr>
          <w:b/>
        </w:rPr>
        <w:t>VIII</w:t>
      </w:r>
      <w:r w:rsidR="00907514" w:rsidRPr="00E5542A">
        <w:rPr>
          <w:b/>
        </w:rPr>
        <w:t>.</w:t>
      </w:r>
    </w:p>
    <w:p w:rsidR="00907514" w:rsidRDefault="00907514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  <w:r w:rsidRPr="00E5542A">
        <w:rPr>
          <w:b/>
          <w:u w:val="single"/>
        </w:rPr>
        <w:t>Závěrečná ustanovení</w:t>
      </w:r>
    </w:p>
    <w:p w:rsidR="00D909B1" w:rsidRDefault="00D909B1" w:rsidP="00907514">
      <w:pPr>
        <w:widowControl w:val="0"/>
        <w:autoSpaceDE w:val="0"/>
        <w:autoSpaceDN w:val="0"/>
        <w:adjustRightInd w:val="0"/>
        <w:jc w:val="center"/>
        <w:rPr>
          <w:b/>
          <w:u w:val="single"/>
        </w:rPr>
      </w:pPr>
    </w:p>
    <w:p w:rsidR="00907514" w:rsidRPr="00E5542A" w:rsidRDefault="00D909B1" w:rsidP="00D909B1">
      <w:pPr>
        <w:pStyle w:val="Odstavecseseznamem"/>
        <w:numPr>
          <w:ilvl w:val="1"/>
          <w:numId w:val="20"/>
        </w:numPr>
        <w:spacing w:after="120"/>
        <w:ind w:left="284" w:hanging="284"/>
        <w:contextualSpacing w:val="0"/>
        <w:jc w:val="both"/>
      </w:pPr>
      <w:r>
        <w:t>Smlouva nabývá platnosti dnem podpisu oběma smluvními stranami. Dohoda nabývá účinnosti dnem uveřejnění v Registru smluv.</w:t>
      </w:r>
    </w:p>
    <w:p w:rsidR="00907514" w:rsidRDefault="00907514" w:rsidP="00D909B1">
      <w:pPr>
        <w:pStyle w:val="Odstavecseseznamem"/>
        <w:numPr>
          <w:ilvl w:val="1"/>
          <w:numId w:val="20"/>
        </w:numPr>
        <w:spacing w:after="120"/>
        <w:ind w:left="426" w:hanging="431"/>
        <w:contextualSpacing w:val="0"/>
        <w:jc w:val="both"/>
      </w:pPr>
      <w:r w:rsidRPr="00E5542A">
        <w:t>Smluvní strany shodně prohlašují, že si tuto smlouvu před jejím podpisem přečetly, že byla uzavřena po vzájemném projednání podle jejich pravé a svobodné vůl</w:t>
      </w:r>
      <w:r w:rsidR="00D909B1">
        <w:t>e, určitě, vážně a srozumitelně nikoliv v tísni za nápadně nevýhodných podmínek jakéhokoli druhu a na důkaz toho smluvní strany připojují své podpisy.</w:t>
      </w:r>
    </w:p>
    <w:p w:rsidR="00D909B1" w:rsidRDefault="00D909B1" w:rsidP="00D909B1">
      <w:pPr>
        <w:pStyle w:val="Odstavecseseznamem"/>
        <w:numPr>
          <w:ilvl w:val="1"/>
          <w:numId w:val="20"/>
        </w:numPr>
        <w:spacing w:after="120"/>
        <w:ind w:left="426"/>
        <w:contextualSpacing w:val="0"/>
        <w:jc w:val="both"/>
      </w:pPr>
      <w:r w:rsidRPr="00F85724">
        <w:t>Všechny právní vztahy, které vzniknou při realizac</w:t>
      </w:r>
      <w:r>
        <w:t>i</w:t>
      </w:r>
      <w:r w:rsidRPr="00F85724">
        <w:t xml:space="preserve"> závazků vyplývajících z této </w:t>
      </w:r>
      <w:r>
        <w:t>rámcové</w:t>
      </w:r>
      <w:r w:rsidDel="004D3E86">
        <w:t xml:space="preserve"> </w:t>
      </w:r>
      <w:r>
        <w:t>dohod</w:t>
      </w:r>
      <w:r w:rsidRPr="00F85724">
        <w:t xml:space="preserve">y, se řídí </w:t>
      </w:r>
      <w:r>
        <w:t>právním řádem České republiky.</w:t>
      </w:r>
    </w:p>
    <w:p w:rsidR="00D909B1" w:rsidRPr="00316013" w:rsidRDefault="00D909B1" w:rsidP="00D909B1">
      <w:pPr>
        <w:numPr>
          <w:ilvl w:val="1"/>
          <w:numId w:val="20"/>
        </w:numPr>
        <w:ind w:left="426"/>
        <w:jc w:val="both"/>
      </w:pPr>
      <w:r>
        <w:t>Kontaktními osobami pro účely této rámcové</w:t>
      </w:r>
      <w:r w:rsidDel="004D3E86">
        <w:t xml:space="preserve"> </w:t>
      </w:r>
      <w:r>
        <w:t>dohody jsou:</w:t>
      </w:r>
    </w:p>
    <w:p w:rsidR="00D909B1" w:rsidRDefault="00D909B1" w:rsidP="00D909B1">
      <w:pPr>
        <w:ind w:left="708"/>
        <w:jc w:val="both"/>
      </w:pPr>
      <w:r>
        <w:t>za kupujícího: Ing. Vladimír Michaljanič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D909B1" w:rsidRDefault="00D909B1" w:rsidP="00D909B1">
      <w:pPr>
        <w:ind w:left="708"/>
        <w:jc w:val="both"/>
      </w:pPr>
      <w:r>
        <w:tab/>
      </w:r>
      <w:r>
        <w:tab/>
        <w:t xml:space="preserve"> </w:t>
      </w:r>
      <w:r w:rsidRPr="009C1077">
        <w:t xml:space="preserve">tel: </w:t>
      </w:r>
      <w:r>
        <w:t>284 021 2</w:t>
      </w:r>
      <w:r w:rsidR="0013098B">
        <w:t>35</w:t>
      </w:r>
      <w:r>
        <w:tab/>
      </w:r>
      <w:r>
        <w:tab/>
      </w:r>
      <w:r>
        <w:tab/>
      </w:r>
    </w:p>
    <w:p w:rsidR="00D909B1" w:rsidRPr="001C0AAB" w:rsidRDefault="00D909B1" w:rsidP="00D909B1">
      <w:pPr>
        <w:ind w:left="708"/>
        <w:jc w:val="both"/>
      </w:pPr>
      <w:r>
        <w:tab/>
      </w:r>
      <w:r>
        <w:tab/>
        <w:t xml:space="preserve"> e-mail: </w:t>
      </w:r>
      <w:r w:rsidR="0013098B">
        <w:t>vmichaljanič@vozp.cz</w:t>
      </w:r>
      <w:r w:rsidRPr="00A0057A">
        <w:tab/>
      </w:r>
      <w:r>
        <w:tab/>
      </w:r>
    </w:p>
    <w:p w:rsidR="00D909B1" w:rsidRDefault="00D909B1" w:rsidP="00D909B1">
      <w:pPr>
        <w:ind w:left="708"/>
        <w:jc w:val="both"/>
      </w:pPr>
      <w:r>
        <w:t xml:space="preserve">za prodávajícího: </w:t>
      </w:r>
      <w:r w:rsidRPr="00E87231">
        <w:rPr>
          <w:i/>
        </w:rPr>
        <w:t>jméno a příjmení</w:t>
      </w:r>
      <w:r>
        <w:rPr>
          <w:i/>
        </w:rPr>
        <w:t xml:space="preserve"> </w:t>
      </w:r>
    </w:p>
    <w:p w:rsidR="00D909B1" w:rsidRDefault="00D909B1" w:rsidP="00D909B1">
      <w:pPr>
        <w:ind w:left="708"/>
        <w:jc w:val="both"/>
      </w:pPr>
      <w:r>
        <w:tab/>
      </w:r>
      <w:r>
        <w:tab/>
        <w:t xml:space="preserve">tel: </w:t>
      </w:r>
    </w:p>
    <w:p w:rsidR="00D909B1" w:rsidRDefault="00D909B1" w:rsidP="00D909B1">
      <w:pPr>
        <w:spacing w:after="60"/>
        <w:ind w:left="1418" w:firstLine="709"/>
        <w:jc w:val="both"/>
      </w:pPr>
      <w:r>
        <w:t>e-mail:</w:t>
      </w:r>
    </w:p>
    <w:p w:rsidR="00D909B1" w:rsidRPr="00E5542A" w:rsidRDefault="00D909B1" w:rsidP="0013098B">
      <w:pPr>
        <w:spacing w:after="120"/>
        <w:ind w:left="425"/>
        <w:jc w:val="both"/>
      </w:pPr>
      <w:r>
        <w:t>V případě změny kontaktní osoby musí být o této skutečnosti druhá smluvní strana neprodleně písemně informována.</w:t>
      </w:r>
      <w:r w:rsidRPr="00E018C5">
        <w:t xml:space="preserve"> </w:t>
      </w:r>
      <w:r>
        <w:t xml:space="preserve">Písemná forma pro změnu kontaktní osoby je zachována taktéž při využití emailové komunikace na zde uvedené adresy. </w:t>
      </w:r>
      <w:r w:rsidRPr="00F85724">
        <w:t xml:space="preserve">Účinnost změny nastává okamžikem doručení </w:t>
      </w:r>
      <w:r>
        <w:t xml:space="preserve">písemného </w:t>
      </w:r>
      <w:r w:rsidRPr="00F85724">
        <w:t>oznámení příslušné smluvní straně</w:t>
      </w:r>
      <w:r>
        <w:t xml:space="preserve">. </w:t>
      </w:r>
    </w:p>
    <w:p w:rsidR="00907514" w:rsidRPr="00E5542A" w:rsidRDefault="00907514" w:rsidP="00832E79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spacing w:after="120"/>
        <w:ind w:left="425" w:hanging="431"/>
        <w:contextualSpacing w:val="0"/>
        <w:jc w:val="both"/>
      </w:pPr>
      <w:r w:rsidRPr="00E5542A">
        <w:t xml:space="preserve">Tato </w:t>
      </w:r>
      <w:r w:rsidR="00827B0F" w:rsidRPr="00E5542A">
        <w:t xml:space="preserve">smlouva je vyhotovena ve </w:t>
      </w:r>
      <w:r w:rsidR="00741755" w:rsidRPr="00E5542A">
        <w:t xml:space="preserve">dvou </w:t>
      </w:r>
      <w:r w:rsidRPr="00E5542A">
        <w:t>stejnopisech s platnost</w:t>
      </w:r>
      <w:r w:rsidR="00827B0F" w:rsidRPr="00E5542A">
        <w:t>í originálu, z nichž jedno vyhotovení</w:t>
      </w:r>
      <w:r w:rsidRPr="00E5542A">
        <w:t xml:space="preserve"> obdrží </w:t>
      </w:r>
      <w:r w:rsidR="00827B0F" w:rsidRPr="00E5542A">
        <w:t xml:space="preserve">dodavatel a </w:t>
      </w:r>
      <w:r w:rsidR="00741755" w:rsidRPr="00E5542A">
        <w:t>jedno</w:t>
      </w:r>
      <w:r w:rsidR="00827B0F" w:rsidRPr="00E5542A">
        <w:t xml:space="preserve"> vyhotovení obdrží objednatel.</w:t>
      </w:r>
    </w:p>
    <w:p w:rsidR="00907514" w:rsidRPr="00E5542A" w:rsidRDefault="00907514" w:rsidP="0013098B">
      <w:pPr>
        <w:pStyle w:val="Odstavecseseznamem"/>
        <w:widowControl w:val="0"/>
        <w:numPr>
          <w:ilvl w:val="1"/>
          <w:numId w:val="20"/>
        </w:numPr>
        <w:autoSpaceDE w:val="0"/>
        <w:autoSpaceDN w:val="0"/>
        <w:adjustRightInd w:val="0"/>
        <w:ind w:left="426"/>
        <w:jc w:val="both"/>
      </w:pPr>
      <w:r w:rsidRPr="00E5542A">
        <w:t>Tuto smlouvu lze měnit a doplňovat pouze písemnými dodatky podepsanými oběma stranami.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>V</w:t>
      </w:r>
      <w:r w:rsidR="00741755" w:rsidRPr="00E5542A">
        <w:t xml:space="preserve"> Praze </w:t>
      </w:r>
      <w:r w:rsidR="00827B0F" w:rsidRPr="00E5542A">
        <w:t>dne:</w:t>
      </w:r>
      <w:r w:rsidR="00827B0F" w:rsidRPr="00E5542A">
        <w:tab/>
        <w:t xml:space="preserve">                        </w:t>
      </w:r>
      <w:r w:rsidR="00827B0F" w:rsidRPr="00E5542A">
        <w:tab/>
      </w:r>
      <w:r w:rsidR="00741755" w:rsidRPr="00E5542A">
        <w:t xml:space="preserve">                                 </w:t>
      </w:r>
      <w:r w:rsidR="00827B0F" w:rsidRPr="00E5542A">
        <w:t>V ….…………</w:t>
      </w:r>
      <w:proofErr w:type="gramStart"/>
      <w:r w:rsidR="00827B0F" w:rsidRPr="00E5542A">
        <w:t>…..</w:t>
      </w:r>
      <w:r w:rsidRPr="00E5542A">
        <w:t xml:space="preserve"> dne</w:t>
      </w:r>
      <w:proofErr w:type="gramEnd"/>
      <w:r w:rsidRPr="00E5542A">
        <w:t>: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</w:p>
    <w:p w:rsidR="00907514" w:rsidRPr="00E5542A" w:rsidRDefault="00907514" w:rsidP="00741755">
      <w:pPr>
        <w:widowControl w:val="0"/>
        <w:autoSpaceDE w:val="0"/>
        <w:autoSpaceDN w:val="0"/>
        <w:adjustRightInd w:val="0"/>
      </w:pPr>
    </w:p>
    <w:p w:rsidR="00827B0F" w:rsidRPr="00E5542A" w:rsidRDefault="00827B0F" w:rsidP="00907514">
      <w:pPr>
        <w:widowControl w:val="0"/>
        <w:autoSpaceDE w:val="0"/>
        <w:autoSpaceDN w:val="0"/>
        <w:adjustRightInd w:val="0"/>
        <w:jc w:val="both"/>
        <w:rPr>
          <w:b/>
          <w:color w:val="FF0000"/>
        </w:rPr>
      </w:pPr>
      <w:r w:rsidRPr="00E5542A">
        <w:t xml:space="preserve">                                                                                                                   </w:t>
      </w:r>
    </w:p>
    <w:p w:rsidR="00907514" w:rsidRPr="00E5542A" w:rsidRDefault="006416A0" w:rsidP="00907514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</w:t>
      </w:r>
    </w:p>
    <w:p w:rsidR="00907514" w:rsidRPr="00E5542A" w:rsidRDefault="00907514" w:rsidP="00907514">
      <w:pPr>
        <w:widowControl w:val="0"/>
        <w:autoSpaceDE w:val="0"/>
        <w:autoSpaceDN w:val="0"/>
        <w:adjustRightInd w:val="0"/>
      </w:pPr>
      <w:r w:rsidRPr="00E5542A">
        <w:t xml:space="preserve">    (</w:t>
      </w:r>
      <w:proofErr w:type="gramStart"/>
      <w:r w:rsidRPr="00E5542A">
        <w:t>objednatel)</w:t>
      </w:r>
      <w:r w:rsidRPr="00E5542A">
        <w:tab/>
      </w:r>
      <w:r w:rsidRPr="00E5542A">
        <w:tab/>
      </w:r>
      <w:r w:rsidRPr="00E5542A">
        <w:tab/>
      </w:r>
      <w:r w:rsidRPr="00E5542A">
        <w:tab/>
      </w:r>
      <w:r w:rsidRPr="00E5542A">
        <w:tab/>
        <w:t xml:space="preserve">  </w:t>
      </w:r>
      <w:r w:rsidRPr="00E5542A">
        <w:tab/>
        <w:t xml:space="preserve"> </w:t>
      </w:r>
      <w:r w:rsidR="003F128E">
        <w:t xml:space="preserve">             </w:t>
      </w:r>
      <w:r w:rsidRPr="00E5542A">
        <w:t xml:space="preserve">   </w:t>
      </w:r>
      <w:r w:rsidR="006416A0">
        <w:t xml:space="preserve">       </w:t>
      </w:r>
      <w:r w:rsidRPr="00E5542A">
        <w:t xml:space="preserve"> (dodavatel</w:t>
      </w:r>
      <w:proofErr w:type="gramEnd"/>
      <w:r w:rsidRPr="00E5542A">
        <w:t>)</w:t>
      </w:r>
    </w:p>
    <w:p w:rsidR="00907514" w:rsidRPr="00E5542A" w:rsidRDefault="00907514" w:rsidP="00907514"/>
    <w:p w:rsidR="00E616C7" w:rsidRPr="00E5542A" w:rsidRDefault="00E616C7"/>
    <w:sectPr w:rsidR="00E616C7" w:rsidRPr="00E5542A" w:rsidSect="00213024">
      <w:footerReference w:type="default" r:id="rId10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39AF" w:rsidRDefault="007E39AF">
      <w:r>
        <w:separator/>
      </w:r>
    </w:p>
  </w:endnote>
  <w:endnote w:type="continuationSeparator" w:id="0">
    <w:p w:rsidR="007E39AF" w:rsidRDefault="007E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5483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32E79" w:rsidRDefault="00832E7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25FE4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25FE4">
              <w:rPr>
                <w:b/>
                <w:bCs/>
                <w:noProof/>
              </w:rPr>
              <w:t>8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32E79" w:rsidRDefault="00832E7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39AF" w:rsidRDefault="007E39AF">
      <w:r>
        <w:separator/>
      </w:r>
    </w:p>
  </w:footnote>
  <w:footnote w:type="continuationSeparator" w:id="0">
    <w:p w:rsidR="007E39AF" w:rsidRDefault="007E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A02A5"/>
    <w:multiLevelType w:val="hybridMultilevel"/>
    <w:tmpl w:val="5F12BF8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856C9A"/>
    <w:multiLevelType w:val="hybridMultilevel"/>
    <w:tmpl w:val="51384DA0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F36BBE"/>
    <w:multiLevelType w:val="hybridMultilevel"/>
    <w:tmpl w:val="28EA259C"/>
    <w:lvl w:ilvl="0" w:tplc="5CF248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A77C92"/>
    <w:multiLevelType w:val="hybridMultilevel"/>
    <w:tmpl w:val="F8F42F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C84EA4"/>
    <w:multiLevelType w:val="hybridMultilevel"/>
    <w:tmpl w:val="7E225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71B5EF9"/>
    <w:multiLevelType w:val="multilevel"/>
    <w:tmpl w:val="E920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73A0E07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737AC4"/>
    <w:multiLevelType w:val="hybridMultilevel"/>
    <w:tmpl w:val="F64EAC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2D6515"/>
    <w:multiLevelType w:val="hybridMultilevel"/>
    <w:tmpl w:val="9C3E6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64539E"/>
    <w:multiLevelType w:val="hybridMultilevel"/>
    <w:tmpl w:val="45869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F0AE2"/>
    <w:multiLevelType w:val="hybridMultilevel"/>
    <w:tmpl w:val="5E64A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36AF8"/>
    <w:multiLevelType w:val="hybridMultilevel"/>
    <w:tmpl w:val="DAE893E4"/>
    <w:lvl w:ilvl="0" w:tplc="718C828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785568E"/>
    <w:multiLevelType w:val="hybridMultilevel"/>
    <w:tmpl w:val="8DB85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E962AC"/>
    <w:multiLevelType w:val="hybridMultilevel"/>
    <w:tmpl w:val="5780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B7FB4"/>
    <w:multiLevelType w:val="hybridMultilevel"/>
    <w:tmpl w:val="D95C3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3569F9"/>
    <w:multiLevelType w:val="hybridMultilevel"/>
    <w:tmpl w:val="8C761210"/>
    <w:lvl w:ilvl="0" w:tplc="7C78735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747C06BD"/>
    <w:multiLevelType w:val="hybridMultilevel"/>
    <w:tmpl w:val="D666A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5B2097D"/>
    <w:multiLevelType w:val="hybridMultilevel"/>
    <w:tmpl w:val="4E44ED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30757F"/>
    <w:multiLevelType w:val="multilevel"/>
    <w:tmpl w:val="3DA42D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0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1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2"/>
  </w:num>
  <w:num w:numId="16">
    <w:abstractNumId w:val="6"/>
  </w:num>
  <w:num w:numId="17">
    <w:abstractNumId w:val="2"/>
  </w:num>
  <w:num w:numId="18">
    <w:abstractNumId w:val="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0E"/>
    <w:rsid w:val="0001546A"/>
    <w:rsid w:val="000221B8"/>
    <w:rsid w:val="00042329"/>
    <w:rsid w:val="00055AE8"/>
    <w:rsid w:val="00064459"/>
    <w:rsid w:val="000735B3"/>
    <w:rsid w:val="00084F5C"/>
    <w:rsid w:val="000A39A7"/>
    <w:rsid w:val="000D22D1"/>
    <w:rsid w:val="0013098B"/>
    <w:rsid w:val="00142DA7"/>
    <w:rsid w:val="0017604F"/>
    <w:rsid w:val="001A1BA8"/>
    <w:rsid w:val="001F374E"/>
    <w:rsid w:val="00213024"/>
    <w:rsid w:val="00257678"/>
    <w:rsid w:val="002826A9"/>
    <w:rsid w:val="00292363"/>
    <w:rsid w:val="00295D0D"/>
    <w:rsid w:val="002B7A34"/>
    <w:rsid w:val="002E592C"/>
    <w:rsid w:val="00311656"/>
    <w:rsid w:val="00326660"/>
    <w:rsid w:val="00347508"/>
    <w:rsid w:val="003604DC"/>
    <w:rsid w:val="003A0744"/>
    <w:rsid w:val="003D5818"/>
    <w:rsid w:val="003E6C1B"/>
    <w:rsid w:val="003F09CE"/>
    <w:rsid w:val="003F128E"/>
    <w:rsid w:val="00424342"/>
    <w:rsid w:val="00430F60"/>
    <w:rsid w:val="0043310E"/>
    <w:rsid w:val="004377D5"/>
    <w:rsid w:val="00441D38"/>
    <w:rsid w:val="00494ABF"/>
    <w:rsid w:val="00494E07"/>
    <w:rsid w:val="004C4B71"/>
    <w:rsid w:val="004D08E5"/>
    <w:rsid w:val="004E05C1"/>
    <w:rsid w:val="00522DB2"/>
    <w:rsid w:val="00527F60"/>
    <w:rsid w:val="005558E8"/>
    <w:rsid w:val="005E0AA4"/>
    <w:rsid w:val="005F5F95"/>
    <w:rsid w:val="00606FD7"/>
    <w:rsid w:val="0061445A"/>
    <w:rsid w:val="006416A0"/>
    <w:rsid w:val="006644FB"/>
    <w:rsid w:val="0068191B"/>
    <w:rsid w:val="006B188E"/>
    <w:rsid w:val="00701A73"/>
    <w:rsid w:val="007246FF"/>
    <w:rsid w:val="00740F0E"/>
    <w:rsid w:val="00741755"/>
    <w:rsid w:val="007558B0"/>
    <w:rsid w:val="007710F5"/>
    <w:rsid w:val="007E2ACA"/>
    <w:rsid w:val="007E39AF"/>
    <w:rsid w:val="007F0D36"/>
    <w:rsid w:val="008027C1"/>
    <w:rsid w:val="0081380D"/>
    <w:rsid w:val="00813D71"/>
    <w:rsid w:val="00827B0F"/>
    <w:rsid w:val="00832E79"/>
    <w:rsid w:val="00836791"/>
    <w:rsid w:val="008F1AE5"/>
    <w:rsid w:val="008F7CBB"/>
    <w:rsid w:val="00907514"/>
    <w:rsid w:val="00925FE4"/>
    <w:rsid w:val="0093427F"/>
    <w:rsid w:val="00970AFA"/>
    <w:rsid w:val="00976B4A"/>
    <w:rsid w:val="00997EA9"/>
    <w:rsid w:val="009E6014"/>
    <w:rsid w:val="00A228B3"/>
    <w:rsid w:val="00A55C49"/>
    <w:rsid w:val="00A71910"/>
    <w:rsid w:val="00A909F4"/>
    <w:rsid w:val="00A92E2B"/>
    <w:rsid w:val="00AA16F4"/>
    <w:rsid w:val="00AB5184"/>
    <w:rsid w:val="00AE23B7"/>
    <w:rsid w:val="00AE366C"/>
    <w:rsid w:val="00B028AA"/>
    <w:rsid w:val="00B23BA3"/>
    <w:rsid w:val="00B24B05"/>
    <w:rsid w:val="00B32BAF"/>
    <w:rsid w:val="00B3721D"/>
    <w:rsid w:val="00B72CD2"/>
    <w:rsid w:val="00BA32DB"/>
    <w:rsid w:val="00BA4DA1"/>
    <w:rsid w:val="00BB2E05"/>
    <w:rsid w:val="00BC00E3"/>
    <w:rsid w:val="00C47CA2"/>
    <w:rsid w:val="00CA0BD3"/>
    <w:rsid w:val="00CE6D39"/>
    <w:rsid w:val="00CF263A"/>
    <w:rsid w:val="00D818E6"/>
    <w:rsid w:val="00D909B1"/>
    <w:rsid w:val="00D90B34"/>
    <w:rsid w:val="00D96274"/>
    <w:rsid w:val="00DA6C1F"/>
    <w:rsid w:val="00E01568"/>
    <w:rsid w:val="00E15F86"/>
    <w:rsid w:val="00E345C9"/>
    <w:rsid w:val="00E5542A"/>
    <w:rsid w:val="00E616C7"/>
    <w:rsid w:val="00E928F4"/>
    <w:rsid w:val="00EB53D4"/>
    <w:rsid w:val="00EE1081"/>
    <w:rsid w:val="00EF149B"/>
    <w:rsid w:val="00F05B6B"/>
    <w:rsid w:val="00F073EA"/>
    <w:rsid w:val="00F2757B"/>
    <w:rsid w:val="00F51975"/>
    <w:rsid w:val="00F55BFD"/>
    <w:rsid w:val="00F65A23"/>
    <w:rsid w:val="00F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BE1E7-AAA8-4C13-9114-63D76AD5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32E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275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275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23BA3"/>
    <w:rPr>
      <w:sz w:val="24"/>
      <w:szCs w:val="24"/>
    </w:rPr>
  </w:style>
  <w:style w:type="paragraph" w:styleId="Textbubliny">
    <w:name w:val="Balloon Text"/>
    <w:basedOn w:val="Normln"/>
    <w:link w:val="TextbublinyChar"/>
    <w:rsid w:val="00B23B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23BA3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257678"/>
    <w:pPr>
      <w:jc w:val="center"/>
    </w:pPr>
    <w:rPr>
      <w:b/>
      <w:smallCap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257678"/>
    <w:rPr>
      <w:b/>
      <w:smallCaps/>
      <w:sz w:val="28"/>
    </w:rPr>
  </w:style>
  <w:style w:type="paragraph" w:styleId="Prosttext">
    <w:name w:val="Plain Text"/>
    <w:basedOn w:val="Normln"/>
    <w:link w:val="ProsttextChar"/>
    <w:uiPriority w:val="99"/>
    <w:rsid w:val="00527F60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527F60"/>
    <w:rPr>
      <w:rFonts w:ascii="Courier New" w:hAnsi="Courier New"/>
      <w:lang w:val="x-none" w:eastAsia="x-none"/>
    </w:rPr>
  </w:style>
  <w:style w:type="paragraph" w:styleId="Odstavecseseznamem">
    <w:name w:val="List Paragraph"/>
    <w:aliases w:val="Odstavec se seznamem a odrážkou,1 úroveň Odstavec se seznamem"/>
    <w:basedOn w:val="Normln"/>
    <w:link w:val="OdstavecseseznamemChar"/>
    <w:uiPriority w:val="34"/>
    <w:qFormat/>
    <w:rsid w:val="00CA0BD3"/>
    <w:pPr>
      <w:ind w:left="720"/>
      <w:contextualSpacing/>
    </w:pPr>
  </w:style>
  <w:style w:type="character" w:customStyle="1" w:styleId="OdstavecseseznamemChar">
    <w:name w:val="Odstavec se seznamem Char"/>
    <w:aliases w:val="Odstavec se seznamem a odrážkou Char,1 úroveň Odstavec se seznamem Char"/>
    <w:link w:val="Odstavecseseznamem"/>
    <w:uiPriority w:val="34"/>
    <w:locked/>
    <w:rsid w:val="00970AFA"/>
    <w:rPr>
      <w:sz w:val="24"/>
      <w:szCs w:val="24"/>
    </w:rPr>
  </w:style>
  <w:style w:type="paragraph" w:customStyle="1" w:styleId="Odstavec">
    <w:name w:val="Odstavec"/>
    <w:basedOn w:val="Nadpis2"/>
    <w:rsid w:val="00F2757B"/>
    <w:pPr>
      <w:keepLines w:val="0"/>
      <w:widowControl w:val="0"/>
      <w:spacing w:before="0" w:after="120"/>
      <w:ind w:left="6741" w:hanging="360"/>
      <w:jc w:val="both"/>
      <w:outlineLvl w:val="9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Nadpis2Char">
    <w:name w:val="Nadpis 2 Char"/>
    <w:basedOn w:val="Standardnpsmoodstavce"/>
    <w:link w:val="Nadpis2"/>
    <w:semiHidden/>
    <w:rsid w:val="00F275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F2757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909B1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32E79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832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ovaV\Dod&#225;vka%20hygienick&#253;ch%20pot&#345;eb\P&#345;&#237;loha%20&#269;.%203%20Vzor%20r&#225;mcov&#233;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44807A-9AA4-4B5B-9619-E92291E3B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4130A-ECC2-441D-B3D9-2C99E8B08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BF9F36-5F0C-4A21-8C95-28B3BEBF0A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Příloha č. 3 Vzor rámcové smlouvy</Template>
  <TotalTime>14</TotalTime>
  <Pages>1</Pages>
  <Words>2849</Words>
  <Characters>16812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19622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Máchová Vladimíra</dc:creator>
  <cp:lastModifiedBy>Martoch Miroslav Ing.</cp:lastModifiedBy>
  <cp:revision>6</cp:revision>
  <cp:lastPrinted>2017-06-01T12:00:00Z</cp:lastPrinted>
  <dcterms:created xsi:type="dcterms:W3CDTF">2017-06-01T09:25:00Z</dcterms:created>
  <dcterms:modified xsi:type="dcterms:W3CDTF">2017-06-01T12:00:00Z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4541/H/2015-HSPH</vt:lpwstr>
  </property>
  <property fmtid="{D5CDD505-2E9C-101B-9397-08002B2CF9AE}" pid="4" name="BARCODE_STOP">
    <vt:lpwstr>@œ</vt:lpwstr>
  </property>
  <property fmtid="{D5CDD505-2E9C-101B-9397-08002B2CF9AE}" pid="5" name="OD_Cj">
    <vt:lpwstr>UZSVM/H/3746/2015-HSPH</vt:lpwstr>
  </property>
  <property fmtid="{D5CDD505-2E9C-101B-9397-08002B2CF9AE}" pid="6" name="Vlastnik">
    <vt:lpwstr>Máchová Vladimíra</vt:lpwstr>
  </property>
  <property fmtid="{D5CDD505-2E9C-101B-9397-08002B2CF9AE}" pid="7" name="Telefon">
    <vt:lpwstr>+420 495 853 205</vt:lpwstr>
  </property>
  <property fmtid="{D5CDD505-2E9C-101B-9397-08002B2CF9AE}" pid="8" name="Fax">
    <vt:lpwstr>5012</vt:lpwstr>
  </property>
  <property fmtid="{D5CDD505-2E9C-101B-9397-08002B2CF9AE}" pid="9" name="Email">
    <vt:lpwstr>Vladimira.Machova@uzsvm.cz</vt:lpwstr>
  </property>
  <property fmtid="{D5CDD505-2E9C-101B-9397-08002B2CF9AE}" pid="10" name="UtvarTxt">
    <vt:lpwstr>oddělení Hospodářské správy</vt:lpwstr>
  </property>
  <property fmtid="{D5CDD505-2E9C-101B-9397-08002B2CF9AE}" pid="11" name="UtvarKod">
    <vt:lpwstr>5012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/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Horova 180, 502 06 Hradec Králové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65304896</vt:lpwstr>
  </property>
  <property fmtid="{D5CDD505-2E9C-101B-9397-08002B2CF9AE}" pid="26" name="NazevUP">
    <vt:lpwstr>Územní pracoviště Hradec Králové,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Hospodářsko správní</vt:lpwstr>
  </property>
  <property fmtid="{D5CDD505-2E9C-101B-9397-08002B2CF9AE}" pid="29" name="AdresaOdbor">
    <vt:lpwstr>,  </vt:lpwstr>
  </property>
  <property fmtid="{D5CDD505-2E9C-101B-9397-08002B2CF9AE}" pid="30" name="VytvorenDne">
    <vt:lpwstr>17.02.2015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µ#4541/H/2015-HSPH@§¸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