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</w:p>
    <w:p w:rsidR="00257678" w:rsidRPr="00E5542A" w:rsidRDefault="00257678" w:rsidP="00257678">
      <w:pPr>
        <w:pStyle w:val="Nzev"/>
        <w:keepNext/>
        <w:jc w:val="left"/>
        <w:rPr>
          <w:b w:val="0"/>
          <w:smallCaps w:val="0"/>
          <w:sz w:val="24"/>
          <w:szCs w:val="24"/>
        </w:rPr>
      </w:pPr>
    </w:p>
    <w:p w:rsidR="007E2ACA" w:rsidRPr="00E5542A" w:rsidRDefault="00311656">
      <w:r w:rsidRPr="00E5542A">
        <w:t xml:space="preserve"> </w:t>
      </w:r>
    </w:p>
    <w:p w:rsidR="00DA6C1F" w:rsidRPr="00E5542A" w:rsidRDefault="00DA6C1F"/>
    <w:p w:rsidR="00DA6C1F" w:rsidRPr="00E5542A" w:rsidRDefault="00DA6C1F"/>
    <w:p w:rsidR="00E616C7" w:rsidRPr="00E5542A" w:rsidRDefault="00E616C7" w:rsidP="00E616C7"/>
    <w:p w:rsidR="00257678" w:rsidRPr="00E5542A" w:rsidRDefault="00257678" w:rsidP="00257678">
      <w:pPr>
        <w:keepNext/>
        <w:tabs>
          <w:tab w:val="left" w:pos="284"/>
        </w:tabs>
        <w:rPr>
          <w:b/>
        </w:rPr>
      </w:pPr>
      <w:r w:rsidRPr="00E5542A">
        <w:rPr>
          <w:b/>
        </w:rPr>
        <w:t>Vojenská zdravotní pojišťovna České republiky</w:t>
      </w:r>
    </w:p>
    <w:p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se sídlem: </w:t>
      </w:r>
      <w:r w:rsidRPr="00E5542A">
        <w:tab/>
      </w:r>
      <w:r w:rsidRPr="00E5542A">
        <w:tab/>
      </w:r>
      <w:r w:rsidRPr="00E5542A">
        <w:tab/>
        <w:t>Praha 9, Drahobejlova 1404/4, PSČ: 190 03</w:t>
      </w:r>
      <w:r w:rsidRPr="00E5542A">
        <w:tab/>
      </w:r>
    </w:p>
    <w:p w:rsidR="00257678" w:rsidRPr="00A228B3" w:rsidRDefault="00257678" w:rsidP="00A228B3">
      <w:r w:rsidRPr="00E5542A">
        <w:t>z</w:t>
      </w:r>
      <w:r w:rsidR="00A228B3">
        <w:t xml:space="preserve">astoupena: </w:t>
      </w:r>
      <w:r w:rsidR="00A228B3">
        <w:tab/>
      </w:r>
      <w:r w:rsidR="00A228B3">
        <w:tab/>
      </w:r>
      <w:r w:rsidR="00A228B3">
        <w:tab/>
        <w:t>Ing.</w:t>
      </w:r>
      <w:r w:rsidR="00A228B3">
        <w:rPr>
          <w:rFonts w:asciiTheme="minorHAnsi" w:hAnsiTheme="minorHAnsi" w:cstheme="minorHAnsi"/>
        </w:rPr>
        <w:t xml:space="preserve"> </w:t>
      </w:r>
      <w:r w:rsidR="00A228B3" w:rsidRPr="00A228B3">
        <w:t>Josef Diessl, generální ředitel</w:t>
      </w:r>
    </w:p>
    <w:p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IČO: </w:t>
      </w:r>
      <w:r w:rsidRPr="00E5542A">
        <w:tab/>
      </w:r>
      <w:r w:rsidRPr="00E5542A">
        <w:tab/>
      </w:r>
      <w:r w:rsidRPr="00E5542A">
        <w:tab/>
      </w:r>
      <w:r w:rsidRPr="00E5542A">
        <w:tab/>
        <w:t>47114975</w:t>
      </w:r>
      <w:bookmarkStart w:id="0" w:name="_GoBack"/>
      <w:bookmarkEnd w:id="0"/>
    </w:p>
    <w:p w:rsidR="00257678" w:rsidRPr="00E5542A" w:rsidRDefault="00257678" w:rsidP="00257678">
      <w:pPr>
        <w:keepNext/>
        <w:tabs>
          <w:tab w:val="left" w:pos="284"/>
        </w:tabs>
      </w:pPr>
      <w:r w:rsidRPr="00E5542A">
        <w:t>bankovní spojení:</w:t>
      </w:r>
      <w:r w:rsidRPr="00E5542A">
        <w:tab/>
      </w:r>
      <w:r w:rsidRPr="00E5542A">
        <w:tab/>
        <w:t>ČNB</w:t>
      </w:r>
    </w:p>
    <w:p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číslo účtu: </w:t>
      </w:r>
      <w:r w:rsidRPr="00E5542A">
        <w:tab/>
      </w:r>
      <w:r w:rsidRPr="00E5542A">
        <w:tab/>
      </w:r>
      <w:r w:rsidRPr="00E5542A">
        <w:tab/>
        <w:t>2011300091/0710</w:t>
      </w:r>
    </w:p>
    <w:p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zapsaná v obchodním rejstříku vedeném Městským soudem v Praze, v oddíle A, vložce 7564 </w:t>
      </w: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„objednatel")</w:t>
      </w: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  <w:r w:rsidRPr="00E5542A">
        <w:t>a</w:t>
      </w:r>
    </w:p>
    <w:p w:rsidR="00527F60" w:rsidRPr="00527F60" w:rsidRDefault="00527F60" w:rsidP="00527F60">
      <w:pPr>
        <w:ind w:firstLine="18"/>
      </w:pPr>
      <w:r w:rsidRPr="00527F60">
        <w:t xml:space="preserve">………………..  /název, právní forma -  doplní zhotovitel/ </w:t>
      </w:r>
    </w:p>
    <w:p w:rsidR="00527F60" w:rsidRPr="00527F60" w:rsidRDefault="00527F60" w:rsidP="00527F60">
      <w:r w:rsidRPr="00527F60">
        <w:t>IČO:</w:t>
      </w:r>
    </w:p>
    <w:p w:rsidR="00527F60" w:rsidRPr="00527F60" w:rsidRDefault="00527F60" w:rsidP="00527F60">
      <w:pPr>
        <w:ind w:firstLine="18"/>
      </w:pPr>
      <w:r w:rsidRPr="00527F60">
        <w:t xml:space="preserve">se sídlem: </w:t>
      </w:r>
    </w:p>
    <w:p w:rsidR="00527F60" w:rsidRPr="00527F60" w:rsidRDefault="00527F60" w:rsidP="00527F60">
      <w:r w:rsidRPr="00527F60">
        <w:t>jejímž jménem jedná:</w:t>
      </w:r>
    </w:p>
    <w:p w:rsidR="00527F60" w:rsidRPr="00527F60" w:rsidRDefault="00527F60" w:rsidP="00527F60">
      <w:r w:rsidRPr="00527F60">
        <w:t xml:space="preserve">bankovní spojení: </w:t>
      </w:r>
    </w:p>
    <w:p w:rsidR="00527F60" w:rsidRPr="00527F60" w:rsidRDefault="00527F60" w:rsidP="00527F60">
      <w:r w:rsidRPr="00527F60">
        <w:t xml:space="preserve">číslo účtu: </w:t>
      </w:r>
    </w:p>
    <w:p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  <w:r w:rsidRPr="00527F60">
        <w:rPr>
          <w:rFonts w:ascii="Times New Roman" w:hAnsi="Times New Roman"/>
          <w:sz w:val="24"/>
          <w:szCs w:val="24"/>
          <w:lang w:val="cs-CZ" w:eastAsia="cs-CZ"/>
        </w:rPr>
        <w:t xml:space="preserve">zapsaná v obchodním rejstříku vedeném ............. , oddíl    , vložka č. </w:t>
      </w:r>
    </w:p>
    <w:p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</w:p>
    <w:p w:rsidR="00527F60" w:rsidRPr="00E5542A" w:rsidRDefault="00527F60" w:rsidP="00527F6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„dodavatel")</w:t>
      </w:r>
    </w:p>
    <w:p w:rsidR="00527F60" w:rsidRPr="00527F60" w:rsidRDefault="00527F60" w:rsidP="00527F60">
      <w:r w:rsidRPr="00527F60">
        <w:t>na straně druhé</w:t>
      </w: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27F60" w:rsidRPr="00FB5F11" w:rsidRDefault="00527F60" w:rsidP="00527F60">
      <w:pPr>
        <w:jc w:val="both"/>
      </w:pPr>
      <w:r w:rsidRPr="00FB5F11">
        <w:t xml:space="preserve">uzavřely níže uvedeného dne, měsíce a roku v souladu s </w:t>
      </w:r>
      <w:r w:rsidRPr="00B93E5D">
        <w:t xml:space="preserve">§ </w:t>
      </w:r>
      <w:r w:rsidR="008027C1">
        <w:t>1724</w:t>
      </w:r>
      <w:r w:rsidRPr="00B93E5D">
        <w:t xml:space="preserve"> a násl. </w:t>
      </w:r>
      <w:r w:rsidRPr="00FB5F11">
        <w:t>zákona č.</w:t>
      </w:r>
      <w:r>
        <w:t xml:space="preserve"> 89/2012</w:t>
      </w:r>
      <w:r w:rsidRPr="00FB5F11">
        <w:t xml:space="preserve"> Sb., ob</w:t>
      </w:r>
      <w:r>
        <w:t>čanský</w:t>
      </w:r>
      <w:r w:rsidRPr="00FB5F11">
        <w:t xml:space="preserve"> zákoník, ve znění pozdějších předpisů (dále jen „ob</w:t>
      </w:r>
      <w:r>
        <w:t>čanský</w:t>
      </w:r>
      <w:r w:rsidRPr="00FB5F11">
        <w:t xml:space="preserve"> zákoník“), a za podmínek dále uvedených tuto</w:t>
      </w:r>
    </w:p>
    <w:p w:rsidR="00907514" w:rsidRPr="00E5542A" w:rsidRDefault="00907514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907514" w:rsidRPr="00E5542A" w:rsidRDefault="00527F60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smlouvu</w:t>
      </w:r>
    </w:p>
    <w:p w:rsidR="00907514" w:rsidRPr="00E5542A" w:rsidRDefault="00257678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na provádění hromadných tisků a jejich rozesílání</w:t>
      </w:r>
      <w:r w:rsidR="00907514" w:rsidRPr="00E5542A">
        <w:rPr>
          <w:b/>
        </w:rPr>
        <w:t xml:space="preserve"> 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 xml:space="preserve">I. 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Předmět díla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907514" w:rsidRDefault="00907514" w:rsidP="00907514">
      <w:pPr>
        <w:widowControl w:val="0"/>
        <w:autoSpaceDE w:val="0"/>
        <w:autoSpaceDN w:val="0"/>
        <w:adjustRightInd w:val="0"/>
        <w:contextualSpacing/>
        <w:jc w:val="both"/>
      </w:pPr>
      <w:r w:rsidRPr="00E5542A">
        <w:t xml:space="preserve">Předmětem smlouvy je </w:t>
      </w:r>
      <w:r w:rsidR="00257678" w:rsidRPr="00E5542A">
        <w:rPr>
          <w:b/>
        </w:rPr>
        <w:t>na provádění hromadných tisků a jejich rozesílání</w:t>
      </w:r>
      <w:r w:rsidR="00257678" w:rsidRPr="00E5542A">
        <w:t xml:space="preserve"> </w:t>
      </w:r>
      <w:r w:rsidRPr="00E5542A">
        <w:t xml:space="preserve">dle požadavků objednatele </w:t>
      </w:r>
      <w:r w:rsidR="00257678" w:rsidRPr="00E5542A">
        <w:t>na základě objednávky dílčích zakázek na základě specifikovaného požadavku příslušného odborného útvaru</w:t>
      </w:r>
      <w:r w:rsidRPr="00E5542A">
        <w:t xml:space="preserve">. </w:t>
      </w:r>
    </w:p>
    <w:p w:rsidR="00970AFA" w:rsidRPr="00E5542A" w:rsidRDefault="00970AFA" w:rsidP="00907514">
      <w:pPr>
        <w:widowControl w:val="0"/>
        <w:autoSpaceDE w:val="0"/>
        <w:autoSpaceDN w:val="0"/>
        <w:adjustRightInd w:val="0"/>
        <w:contextualSpacing/>
        <w:jc w:val="both"/>
      </w:pPr>
    </w:p>
    <w:p w:rsidR="00970AFA" w:rsidRDefault="00970AFA" w:rsidP="00970AFA">
      <w:pPr>
        <w:jc w:val="both"/>
      </w:pPr>
      <w:r>
        <w:t>Věcné vymezení potřeby:</w:t>
      </w:r>
    </w:p>
    <w:p w:rsidR="00970AFA" w:rsidRDefault="00970AFA" w:rsidP="00970AFA">
      <w:pPr>
        <w:jc w:val="both"/>
      </w:pPr>
    </w:p>
    <w:p w:rsidR="00970AFA" w:rsidRDefault="00970AFA" w:rsidP="00970AFA">
      <w:pPr>
        <w:jc w:val="both"/>
      </w:pPr>
      <w:r>
        <w:t xml:space="preserve">Tisk cca 3 000 ks </w:t>
      </w:r>
      <w:r w:rsidRPr="00753198">
        <w:rPr>
          <w:b/>
        </w:rPr>
        <w:t xml:space="preserve">zúčtovacích zpráv za měsíc </w:t>
      </w:r>
      <w:r>
        <w:t>při splnění následující specifikace:</w:t>
      </w:r>
    </w:p>
    <w:p w:rsidR="00970AFA" w:rsidRDefault="00970AFA" w:rsidP="00970AFA">
      <w:pPr>
        <w:jc w:val="both"/>
      </w:pPr>
    </w:p>
    <w:p w:rsidR="00970AFA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>
        <w:t>9000</w:t>
      </w:r>
      <w:r w:rsidRPr="003E7993">
        <w:t xml:space="preserve"> stran  A4 * cena za vytisknutí jedné (1) stránky A4 (při pokrytí 5%) za černobílou stránku</w:t>
      </w:r>
      <w:r>
        <w:t>, gramáž papíru 80g/m2</w:t>
      </w:r>
    </w:p>
    <w:p w:rsidR="00970AFA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>
        <w:lastRenderedPageBreak/>
        <w:t xml:space="preserve">3000 obálek </w:t>
      </w:r>
      <w:r w:rsidRPr="00753198">
        <w:t>s okénkem DL – dle</w:t>
      </w:r>
      <w:r>
        <w:t>:</w:t>
      </w:r>
      <w:r w:rsidRPr="00753198">
        <w:t xml:space="preserve"> Česká pošta, velikost okénka 104x42 mm; umístění okénka vpravo, zprava 15 mm, zdola 28 mm</w:t>
      </w:r>
    </w:p>
    <w:p w:rsidR="00970AFA" w:rsidRPr="009921BE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753198">
        <w:t>Hmotnost zásilek cca 2980 do 50g, 20 ks do 100 g</w:t>
      </w:r>
      <w:r>
        <w:t>.</w:t>
      </w:r>
    </w:p>
    <w:p w:rsidR="00970AFA" w:rsidRPr="00753198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>
        <w:t>Průběžný tisk a distribuce dodaných zúčtovacích zpráv min.2x týdně.</w:t>
      </w:r>
    </w:p>
    <w:p w:rsidR="00970AFA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9921BE">
        <w:t xml:space="preserve">Předávání dat pomocí tiskového portálu VoZP ČR v PDF. </w:t>
      </w:r>
    </w:p>
    <w:p w:rsidR="00970AFA" w:rsidRDefault="00970AFA" w:rsidP="00970AFA">
      <w:pPr>
        <w:pStyle w:val="Odstavecseseznamem"/>
        <w:spacing w:after="120"/>
        <w:ind w:left="0"/>
        <w:jc w:val="both"/>
      </w:pPr>
    </w:p>
    <w:p w:rsidR="00970AFA" w:rsidRPr="00B83C4D" w:rsidRDefault="00970AFA" w:rsidP="00970AFA">
      <w:pPr>
        <w:jc w:val="both"/>
      </w:pPr>
      <w:r w:rsidRPr="00B83C4D">
        <w:t>Tisk</w:t>
      </w:r>
      <w:r w:rsidRPr="00B83C4D">
        <w:rPr>
          <w:b/>
        </w:rPr>
        <w:t xml:space="preserve"> </w:t>
      </w:r>
      <w:r w:rsidRPr="00B83C4D">
        <w:t xml:space="preserve">cca 2 000 ks </w:t>
      </w:r>
      <w:r w:rsidRPr="00B83C4D">
        <w:rPr>
          <w:b/>
        </w:rPr>
        <w:t xml:space="preserve">zúčtovacích zpráv - nadlimity za čtvrtletí </w:t>
      </w:r>
      <w:r w:rsidRPr="00B83C4D">
        <w:t>při splnění následující specifikace:</w:t>
      </w:r>
    </w:p>
    <w:p w:rsidR="00970AFA" w:rsidRPr="00B83C4D" w:rsidRDefault="00970AFA" w:rsidP="00970AFA">
      <w:pPr>
        <w:jc w:val="both"/>
      </w:pPr>
    </w:p>
    <w:p w:rsidR="00970AFA" w:rsidRPr="00B83C4D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B83C4D">
        <w:t>4 500 stran  A4 * cena za vytisknutí jedné (1) stránky A4 (při pokrytí 5%) za černobílou stránku, gramáž papíru 80g/m2</w:t>
      </w:r>
    </w:p>
    <w:p w:rsidR="00970AFA" w:rsidRPr="00B83C4D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B83C4D">
        <w:t>2 000 obálek s okénkem DL – dle: Česká pošta, velikost okénka 104x42 mm; umístění okénka vpravo, zprava 15 mm, zdola 28 mm</w:t>
      </w:r>
    </w:p>
    <w:p w:rsidR="00970AFA" w:rsidRPr="00B83C4D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B83C4D">
        <w:t>Hmotnost zásilek cca do 50g.</w:t>
      </w:r>
    </w:p>
    <w:p w:rsidR="00970AFA" w:rsidRPr="00B83C4D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B83C4D">
        <w:t>Tisk a distribuce dodaných zúčtovacích zpráv – nadlimity 1x za čtvrtletí dle pokynů Zadavatele.</w:t>
      </w:r>
    </w:p>
    <w:p w:rsidR="00970AFA" w:rsidRPr="00B83C4D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B83C4D">
        <w:t xml:space="preserve">Předávání dat pomocí tiskového portálu VoZP ČR v PDF. </w:t>
      </w:r>
    </w:p>
    <w:p w:rsidR="00970AFA" w:rsidRDefault="00970AFA" w:rsidP="00970AFA">
      <w:pPr>
        <w:pStyle w:val="Odstavecseseznamem"/>
        <w:spacing w:after="120"/>
        <w:ind w:left="0"/>
        <w:jc w:val="both"/>
      </w:pPr>
    </w:p>
    <w:p w:rsidR="00970AFA" w:rsidRDefault="00970AFA" w:rsidP="00970AFA">
      <w:pPr>
        <w:pStyle w:val="Odstavecseseznamem"/>
        <w:spacing w:after="120"/>
        <w:ind w:left="0"/>
        <w:jc w:val="both"/>
      </w:pPr>
      <w:r>
        <w:t xml:space="preserve">Tisk cca 65 000 ks </w:t>
      </w:r>
      <w:r w:rsidRPr="00121A3A">
        <w:rPr>
          <w:b/>
        </w:rPr>
        <w:t>obeslání prázdným přehledem OSVČ</w:t>
      </w:r>
      <w:r>
        <w:t xml:space="preserve"> - 1x ročně do 20. 1. 2018</w:t>
      </w:r>
      <w:r w:rsidRPr="007F1CE4">
        <w:t xml:space="preserve"> při splnění následující specifikace:</w:t>
      </w:r>
    </w:p>
    <w:p w:rsidR="00970AFA" w:rsidRDefault="00970AFA" w:rsidP="00970AFA">
      <w:pPr>
        <w:pStyle w:val="Odstavecseseznamem"/>
        <w:spacing w:after="120"/>
        <w:ind w:left="0"/>
        <w:jc w:val="both"/>
      </w:pPr>
    </w:p>
    <w:p w:rsidR="00970AFA" w:rsidRPr="00A23C5E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A23C5E">
        <w:t xml:space="preserve">65 000 ks barevného formuláře </w:t>
      </w:r>
      <w:r w:rsidRPr="00A23C5E">
        <w:rPr>
          <w:b/>
        </w:rPr>
        <w:t xml:space="preserve">Přehled OSVČ za rok </w:t>
      </w:r>
      <w:r>
        <w:rPr>
          <w:b/>
        </w:rPr>
        <w:t>……..</w:t>
      </w:r>
    </w:p>
    <w:p w:rsidR="00970AFA" w:rsidRPr="00A23C5E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A23C5E">
        <w:t>130 000 listů A4 * cena za vytisknutí jedné (1) stránky A4 (při pokrytí 5%) za černobílou stránku, gramáž papíru 80g/m2</w:t>
      </w:r>
    </w:p>
    <w:p w:rsidR="00970AFA" w:rsidRPr="00A23C5E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A23C5E">
        <w:t>65 000 obálek s okénkem DL – dle: Česká pošta, velikost okénka 104x42 mm; umístění okénka vpravo, zprava 15 mm, zdola 28 mm</w:t>
      </w:r>
    </w:p>
    <w:p w:rsidR="00970AFA" w:rsidRPr="00A23C5E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A23C5E">
        <w:t>Hmotnost zásilek cca do 50g.</w:t>
      </w:r>
    </w:p>
    <w:p w:rsidR="00970AFA" w:rsidRPr="00A23C5E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A23C5E">
        <w:t>Tisk a distribuce dodaných prázdných přehledů OSVČ 1x ročně dle pokynů Zadavatele do 20. 1. 2017.</w:t>
      </w:r>
    </w:p>
    <w:p w:rsidR="00970AFA" w:rsidRDefault="00970AFA" w:rsidP="00970AFA">
      <w:pPr>
        <w:pStyle w:val="Odstavecseseznamem"/>
        <w:spacing w:after="120"/>
        <w:ind w:left="0"/>
        <w:jc w:val="both"/>
      </w:pPr>
    </w:p>
    <w:p w:rsidR="00970AFA" w:rsidRDefault="00970AFA" w:rsidP="00970AFA">
      <w:pPr>
        <w:pStyle w:val="Odstavecseseznamem"/>
        <w:spacing w:after="120"/>
        <w:ind w:left="0"/>
        <w:jc w:val="both"/>
      </w:pPr>
      <w:r w:rsidRPr="004A405C">
        <w:t>Do již vytisknutého barevného formuláře</w:t>
      </w:r>
      <w:r>
        <w:t xml:space="preserve"> </w:t>
      </w:r>
      <w:r w:rsidRPr="004A405C">
        <w:rPr>
          <w:b/>
        </w:rPr>
        <w:t xml:space="preserve">Přehled OSVČ za rok </w:t>
      </w:r>
      <w:r>
        <w:rPr>
          <w:b/>
        </w:rPr>
        <w:t>…….</w:t>
      </w:r>
      <w:r w:rsidRPr="004A405C">
        <w:t xml:space="preserve"> budou na přední stranu doplněny údaje o obesílané osobě (rodné číslo, jméno, příjmení, titul před, titul za, čarový kód). Ke každému formuláři se tisknou dvě přílohy „Přehled dob pojištění“ (OVV) a „Přehled plateb“. Vše se balí do okénkové obálky a to tak, že v okénku je uvedena adresa z doku</w:t>
      </w:r>
      <w:r>
        <w:t>mentu „Přehled dob pojištění“ (tj.</w:t>
      </w:r>
      <w:r w:rsidRPr="004A405C">
        <w:t xml:space="preserve"> kontaktní adresa osoby). </w:t>
      </w:r>
    </w:p>
    <w:p w:rsidR="00970AFA" w:rsidRPr="006244ED" w:rsidRDefault="00970AFA" w:rsidP="00970AFA">
      <w:pPr>
        <w:pStyle w:val="Odstavecseseznamem"/>
        <w:spacing w:after="120"/>
        <w:ind w:left="0"/>
        <w:jc w:val="both"/>
        <w:rPr>
          <w:sz w:val="16"/>
          <w:szCs w:val="16"/>
        </w:rPr>
      </w:pPr>
      <w:r w:rsidRPr="004A405C">
        <w:t> </w:t>
      </w:r>
    </w:p>
    <w:p w:rsidR="00970AFA" w:rsidRPr="004A405C" w:rsidRDefault="00970AFA" w:rsidP="00970AFA">
      <w:pPr>
        <w:pStyle w:val="Odstavecseseznamem"/>
        <w:spacing w:after="120"/>
        <w:ind w:left="0"/>
        <w:jc w:val="both"/>
      </w:pPr>
      <w:r w:rsidRPr="004A405C">
        <w:t xml:space="preserve">Data </w:t>
      </w:r>
      <w:r>
        <w:t xml:space="preserve">Zadavatel zašle </w:t>
      </w:r>
      <w:r w:rsidRPr="004A405C">
        <w:t>ve třech souborech:</w:t>
      </w:r>
    </w:p>
    <w:p w:rsidR="00970AFA" w:rsidRPr="004A405C" w:rsidRDefault="00970AFA" w:rsidP="00970AFA">
      <w:pPr>
        <w:pStyle w:val="Odstavecseseznamem"/>
        <w:spacing w:after="120"/>
        <w:ind w:left="0"/>
        <w:jc w:val="both"/>
      </w:pPr>
      <w:r w:rsidRPr="004A405C">
        <w:t>1) „Přehled“ frm_1935.unl (obsahující proměnné: RČ-rc, Příjmení-prijm, Jméno-jmeno, Titul před jm.-tit_pred, Čarový kód –carkod)</w:t>
      </w:r>
    </w:p>
    <w:p w:rsidR="00970AFA" w:rsidRPr="004A405C" w:rsidRDefault="00970AFA" w:rsidP="00970AFA">
      <w:pPr>
        <w:pStyle w:val="Odstavecseseznamem"/>
        <w:spacing w:after="120"/>
        <w:ind w:left="0"/>
        <w:jc w:val="both"/>
      </w:pPr>
      <w:r w:rsidRPr="004A405C">
        <w:t>2) "PŘEHLED DOB POJIŠTĚNÍ  " - frm_1936.unl</w:t>
      </w:r>
    </w:p>
    <w:p w:rsidR="00970AFA" w:rsidRPr="006244ED" w:rsidRDefault="00970AFA" w:rsidP="00970AFA">
      <w:pPr>
        <w:pStyle w:val="Odstavecseseznamem"/>
        <w:spacing w:after="120"/>
        <w:ind w:left="0"/>
        <w:jc w:val="both"/>
      </w:pPr>
      <w:r w:rsidRPr="004A405C">
        <w:t>3) "PŘEHLED PLATEB" - frm_1973.unl</w:t>
      </w:r>
    </w:p>
    <w:p w:rsidR="00970AFA" w:rsidRPr="006244ED" w:rsidRDefault="00970AFA" w:rsidP="00970AFA">
      <w:pPr>
        <w:pStyle w:val="Odstavecseseznamem"/>
        <w:spacing w:after="120"/>
        <w:ind w:left="0"/>
        <w:jc w:val="both"/>
      </w:pPr>
    </w:p>
    <w:p w:rsidR="00970AFA" w:rsidRPr="001B714F" w:rsidRDefault="00970AFA" w:rsidP="00970AFA">
      <w:pPr>
        <w:pStyle w:val="Odstavecseseznamem"/>
        <w:spacing w:after="120"/>
        <w:ind w:left="0"/>
        <w:jc w:val="both"/>
      </w:pPr>
      <w:r w:rsidRPr="001B714F">
        <w:t>Tisk adresných výzev na zabezpečení projektu MZ ČR „</w:t>
      </w:r>
      <w:r w:rsidRPr="001B714F">
        <w:rPr>
          <w:b/>
        </w:rPr>
        <w:t xml:space="preserve">Systém podpory prevence vybraných nádorových onemocnění v ČR – SCREENINGOVÉ PROGRAMY“ </w:t>
      </w:r>
      <w:r w:rsidRPr="001B714F">
        <w:t>který spočívá v:</w:t>
      </w:r>
    </w:p>
    <w:p w:rsidR="00970AFA" w:rsidRPr="001B714F" w:rsidRDefault="00970AFA" w:rsidP="00970AFA">
      <w:pPr>
        <w:pStyle w:val="Odstavecseseznamem"/>
        <w:spacing w:after="120"/>
        <w:ind w:left="0"/>
        <w:jc w:val="both"/>
      </w:pPr>
    </w:p>
    <w:p w:rsidR="00970AFA" w:rsidRPr="001B714F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1B714F">
        <w:t>20 000 stran  A4 * cena za vytisknutí jedné (1) stránky A4 (při pokrytí 5%) za černobílou stránku, gramáž papíru 80g/m2 - (1. strana v plné barvě, 2. strana černobíle)</w:t>
      </w:r>
    </w:p>
    <w:p w:rsidR="00970AFA" w:rsidRPr="001B714F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1B714F">
        <w:t>Dopis obsahuje na první straně adresu, oslovení a</w:t>
      </w:r>
      <w:r>
        <w:t>d</w:t>
      </w:r>
      <w:r w:rsidRPr="001B714F">
        <w:t>resáta (Vážená paní/Vážený pane) s výzvou k návštěvě příslušného screeningového vyšetření. Na druhé straně dopisu bude vytištěna informace o každém nádorovém onemocnění (mamárním, cervikálním, kolorektálním).</w:t>
      </w:r>
    </w:p>
    <w:p w:rsidR="00970AFA" w:rsidRPr="001B714F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1B714F">
        <w:lastRenderedPageBreak/>
        <w:t>10 000 obálek s okénkem DL – dle: Česká pošta, velikost okénka 104x42 mm; umístění okénka vpravo, zprava 15 mm, zdola 28 mm</w:t>
      </w:r>
    </w:p>
    <w:p w:rsidR="00970AFA" w:rsidRPr="001B714F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1B714F">
        <w:t>Hmotnost zásilek cca do 50g.</w:t>
      </w:r>
    </w:p>
    <w:p w:rsidR="00970AFA" w:rsidRPr="001B714F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1B714F">
        <w:t>Tisk a distribuce dodaných dopisů měsíčně dle pokynů Zadavatele.</w:t>
      </w:r>
    </w:p>
    <w:p w:rsidR="00970AFA" w:rsidRPr="004A405C" w:rsidRDefault="00970AFA" w:rsidP="00970AFA">
      <w:pPr>
        <w:pStyle w:val="Odstavecseseznamem"/>
        <w:numPr>
          <w:ilvl w:val="0"/>
          <w:numId w:val="10"/>
        </w:numPr>
        <w:spacing w:after="120"/>
        <w:jc w:val="both"/>
      </w:pPr>
      <w:r w:rsidRPr="004A405C">
        <w:t xml:space="preserve">Data </w:t>
      </w:r>
      <w:r>
        <w:t xml:space="preserve">Zadavatel zašle </w:t>
      </w:r>
      <w:r w:rsidRPr="004A405C">
        <w:t>v</w:t>
      </w:r>
      <w:r>
        <w:t xml:space="preserve"> definovaných </w:t>
      </w:r>
      <w:r w:rsidRPr="004A405C">
        <w:t>souborech</w:t>
      </w:r>
      <w:r>
        <w:t>.</w:t>
      </w:r>
    </w:p>
    <w:p w:rsidR="00970AFA" w:rsidRDefault="00970AFA" w:rsidP="00970AFA">
      <w:pPr>
        <w:pStyle w:val="Odstavecseseznamem"/>
        <w:spacing w:after="120"/>
        <w:ind w:left="0"/>
        <w:jc w:val="both"/>
        <w:rPr>
          <w:highlight w:val="cyan"/>
        </w:rPr>
      </w:pPr>
    </w:p>
    <w:p w:rsidR="00970AFA" w:rsidRDefault="00970AFA" w:rsidP="00970AFA">
      <w:pPr>
        <w:pStyle w:val="Odstavecseseznamem"/>
        <w:spacing w:after="120"/>
        <w:ind w:left="0"/>
        <w:jc w:val="both"/>
      </w:pPr>
      <w:r w:rsidRPr="001B714F">
        <w:t xml:space="preserve">Tisk </w:t>
      </w:r>
      <w:r>
        <w:t xml:space="preserve">cca 5 – 10 000 dopisů </w:t>
      </w:r>
      <w:r w:rsidRPr="00FB1C53">
        <w:rPr>
          <w:b/>
        </w:rPr>
        <w:t>pojištěncům s neznámým plátcem pojistného</w:t>
      </w:r>
      <w:r>
        <w:t xml:space="preserve"> 1 - 2 x ročně </w:t>
      </w:r>
      <w:r w:rsidRPr="007F1CE4">
        <w:t>při splnění následující specifikace:</w:t>
      </w:r>
    </w:p>
    <w:p w:rsidR="00970AFA" w:rsidRPr="001B714F" w:rsidRDefault="00970AFA" w:rsidP="00970AFA">
      <w:pPr>
        <w:pStyle w:val="Odstavecseseznamem"/>
        <w:spacing w:after="120"/>
        <w:ind w:left="0"/>
        <w:jc w:val="both"/>
      </w:pPr>
    </w:p>
    <w:p w:rsidR="00970AFA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>
        <w:t>dopis</w:t>
      </w:r>
      <w:r w:rsidRPr="00FB1C53">
        <w:t xml:space="preserve"> laser print A4 1/0 A4 90g ofset + personalizace</w:t>
      </w:r>
    </w:p>
    <w:p w:rsidR="00970AFA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>
        <w:t xml:space="preserve">formulář </w:t>
      </w:r>
      <w:r w:rsidRPr="00FB1C53">
        <w:t xml:space="preserve">oznámení </w:t>
      </w:r>
      <w:r>
        <w:t>změn</w:t>
      </w:r>
      <w:r w:rsidRPr="00FB1C53">
        <w:t xml:space="preserve"> laser </w:t>
      </w:r>
      <w:r>
        <w:t>A4 1/1  A4 90g ofset</w:t>
      </w:r>
    </w:p>
    <w:p w:rsidR="00970AFA" w:rsidRPr="00FB1C53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FB1C53">
        <w:t>obálka C6/5 s oknem vpravo, dotisk odesílatele 1/0 zelená</w:t>
      </w:r>
    </w:p>
    <w:p w:rsidR="00970AFA" w:rsidRPr="00FB1C53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FB1C53">
        <w:t>2 x vklad do C6/5 obálky – dopis, formulář</w:t>
      </w:r>
    </w:p>
    <w:p w:rsidR="00970AFA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 w:rsidRPr="00FB1C53">
        <w:t>zalepení, svazkování, odbavení na poště</w:t>
      </w:r>
    </w:p>
    <w:p w:rsidR="00970AFA" w:rsidRPr="00FB1C53" w:rsidRDefault="00970AFA" w:rsidP="00970AFA">
      <w:pPr>
        <w:pStyle w:val="Odstavecseseznamem"/>
        <w:numPr>
          <w:ilvl w:val="0"/>
          <w:numId w:val="10"/>
        </w:numPr>
        <w:contextualSpacing w:val="0"/>
        <w:jc w:val="both"/>
      </w:pPr>
      <w:r>
        <w:t>h</w:t>
      </w:r>
      <w:r w:rsidRPr="001B714F">
        <w:t>motnost zásilek do 50g</w:t>
      </w:r>
    </w:p>
    <w:p w:rsidR="00970AFA" w:rsidRPr="00FB1C53" w:rsidRDefault="00970AFA" w:rsidP="00970AFA">
      <w:pPr>
        <w:pStyle w:val="Odstavecseseznamem"/>
        <w:numPr>
          <w:ilvl w:val="0"/>
          <w:numId w:val="10"/>
        </w:numPr>
        <w:spacing w:after="120"/>
        <w:jc w:val="both"/>
      </w:pPr>
      <w:r>
        <w:t>d</w:t>
      </w:r>
      <w:r w:rsidRPr="004A405C">
        <w:t xml:space="preserve">ata </w:t>
      </w:r>
      <w:r>
        <w:t xml:space="preserve">Zadavatel zašle </w:t>
      </w:r>
      <w:r w:rsidRPr="004A405C">
        <w:t>v</w:t>
      </w:r>
      <w:r>
        <w:t xml:space="preserve"> definovaných </w:t>
      </w:r>
      <w:r w:rsidRPr="004A405C">
        <w:t>souborech</w:t>
      </w:r>
    </w:p>
    <w:p w:rsidR="00970AFA" w:rsidRPr="00FB1C53" w:rsidRDefault="00970AFA" w:rsidP="00970AFA">
      <w:pPr>
        <w:pStyle w:val="Odstavecseseznamem"/>
        <w:jc w:val="both"/>
      </w:pPr>
    </w:p>
    <w:p w:rsidR="00970AFA" w:rsidRDefault="00970AFA" w:rsidP="00970AFA">
      <w:pPr>
        <w:spacing w:after="120"/>
        <w:jc w:val="both"/>
      </w:pPr>
      <w:r w:rsidRPr="00FF280D">
        <w:t>Všechny dopisy budou odesílány formou obyčejného standardního psaní prostřednictvím České pošty s. p., tak i alternativního operátora pošty s cílem dosažení nejnižší ceny.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Doba plnění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907514" w:rsidRPr="00E5542A" w:rsidRDefault="00CA0BD3" w:rsidP="00907514">
      <w:pPr>
        <w:widowControl w:val="0"/>
        <w:autoSpaceDE w:val="0"/>
        <w:autoSpaceDN w:val="0"/>
        <w:adjustRightInd w:val="0"/>
        <w:jc w:val="both"/>
      </w:pPr>
      <w:r>
        <w:t>Doba plnění je jeden rok</w:t>
      </w:r>
      <w:r w:rsidR="00BC00E3">
        <w:t xml:space="preserve"> od podpisu smlouvy</w:t>
      </w:r>
      <w:r w:rsidR="00907514" w:rsidRPr="00E5542A">
        <w:t xml:space="preserve"> nebo do vyčerpání finančního limitu v</w:t>
      </w:r>
      <w:r w:rsidR="00827B0F" w:rsidRPr="00E5542A">
        <w:t xml:space="preserve">e výši </w:t>
      </w:r>
      <w:r w:rsidR="00DA6C1F" w:rsidRPr="00E5542A">
        <w:t>2.000.000</w:t>
      </w:r>
      <w:r w:rsidR="00907514" w:rsidRPr="00E5542A">
        <w:t xml:space="preserve">,- Kč bez DPH, a to podle toho, která z těchto skutečností nastane dříve. 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907514" w:rsidRPr="00E5542A" w:rsidRDefault="00441D38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III</w:t>
      </w:r>
      <w:r w:rsidR="00907514" w:rsidRPr="00E5542A">
        <w:rPr>
          <w:b/>
        </w:rPr>
        <w:t>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Cena díla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292363" w:rsidRPr="00E5542A" w:rsidRDefault="00BC00E3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</w:pPr>
      <w:r>
        <w:t>Jednotková nabídková cena za vytištění, kompletaci a odeslání</w:t>
      </w:r>
      <w:r w:rsidR="00907514" w:rsidRPr="00E5542A">
        <w:t xml:space="preserve"> stanoveny </w:t>
      </w:r>
      <w:r>
        <w:t>na základě zadávacího řízení</w:t>
      </w:r>
      <w:r w:rsidR="007710F5">
        <w:t>:</w:t>
      </w:r>
      <w:r w:rsidR="00907514" w:rsidRPr="00E5542A">
        <w:t xml:space="preserve"> </w:t>
      </w:r>
    </w:p>
    <w:tbl>
      <w:tblPr>
        <w:tblW w:w="912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069"/>
        <w:gridCol w:w="2835"/>
      </w:tblGrid>
      <w:tr w:rsidR="001F374E" w:rsidTr="00BC00E3">
        <w:trPr>
          <w:trHeight w:val="31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00E3">
              <w:rPr>
                <w:b/>
                <w:bCs/>
                <w:color w:val="000000"/>
                <w:sz w:val="22"/>
                <w:szCs w:val="22"/>
              </w:rPr>
              <w:t>Označení dodávky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00E3">
              <w:rPr>
                <w:b/>
                <w:bCs/>
                <w:color w:val="000000"/>
                <w:sz w:val="22"/>
                <w:szCs w:val="22"/>
              </w:rPr>
              <w:t>Cena za jednotku bez DPH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00E3">
              <w:rPr>
                <w:b/>
                <w:bCs/>
                <w:color w:val="000000"/>
                <w:sz w:val="22"/>
                <w:szCs w:val="22"/>
              </w:rPr>
              <w:t>Cena za jednotku s DPH</w:t>
            </w:r>
          </w:p>
        </w:tc>
      </w:tr>
      <w:tr w:rsidR="001F374E" w:rsidTr="00BC00E3">
        <w:trPr>
          <w:trHeight w:val="6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1x vklad do obálky, párování, ofrankování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374E" w:rsidTr="00BC00E3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další vklad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374E" w:rsidTr="00BC00E3">
        <w:trPr>
          <w:trHeight w:val="6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tisk dokumentu A4, 80g, ofset, 1/1, černá, pokrytí 5%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374E" w:rsidTr="00BC00E3">
        <w:trPr>
          <w:trHeight w:val="76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tisk dokumentu A4, 80g, ofset, 1/1, barevná, pokrytí 5%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374E" w:rsidTr="00BC00E3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obálka DL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374E" w:rsidTr="00BC00E3">
        <w:trPr>
          <w:trHeight w:val="6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obálka C6/5 s okénkem,1/0 černá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374E" w:rsidTr="00BC00E3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obálka C4 s okénkem, 1/0, černá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374E" w:rsidTr="00BC00E3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poštovné do 50g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374E" w:rsidTr="00BC00E3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poštovné do 100g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374E" w:rsidTr="00BC00E3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poštovné do 500g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374E" w:rsidTr="00BC00E3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zpracování dat Kč/hod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4E" w:rsidRPr="00BC00E3" w:rsidRDefault="001F374E">
            <w:pPr>
              <w:rPr>
                <w:color w:val="000000"/>
                <w:sz w:val="22"/>
                <w:szCs w:val="22"/>
              </w:rPr>
            </w:pPr>
            <w:r w:rsidRPr="00BC00E3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92363" w:rsidRPr="00E5542A" w:rsidRDefault="00292363" w:rsidP="001F374E">
      <w:pPr>
        <w:widowControl w:val="0"/>
        <w:autoSpaceDE w:val="0"/>
        <w:autoSpaceDN w:val="0"/>
        <w:adjustRightInd w:val="0"/>
        <w:contextualSpacing/>
        <w:jc w:val="both"/>
      </w:pPr>
    </w:p>
    <w:p w:rsidR="00292363" w:rsidRPr="00E5542A" w:rsidRDefault="00292363" w:rsidP="00292363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292363">
      <w:pPr>
        <w:widowControl w:val="0"/>
        <w:autoSpaceDE w:val="0"/>
        <w:autoSpaceDN w:val="0"/>
        <w:adjustRightInd w:val="0"/>
        <w:ind w:left="426"/>
        <w:contextualSpacing/>
        <w:jc w:val="both"/>
      </w:pPr>
      <w:r w:rsidRPr="00E5542A">
        <w:t xml:space="preserve">Tato cena se považuje za cenu v místě a čase obvyklou a zahrnuje veškeré další náklady dodavatele za plnění předmětu smlouvy. 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 xml:space="preserve">Celková cena jednotlivých dodávek za dobu platnosti rámcové smlouvy činí maximálně </w:t>
      </w:r>
      <w:r w:rsidR="00B3721D" w:rsidRPr="00E5542A">
        <w:rPr>
          <w:b/>
        </w:rPr>
        <w:t>2.0</w:t>
      </w:r>
      <w:r w:rsidR="00827B0F" w:rsidRPr="00E5542A">
        <w:rPr>
          <w:b/>
        </w:rPr>
        <w:t>00</w:t>
      </w:r>
      <w:r w:rsidR="00B23BA3" w:rsidRPr="00E5542A">
        <w:rPr>
          <w:b/>
        </w:rPr>
        <w:t>.000,- Kč bez</w:t>
      </w:r>
      <w:r w:rsidRPr="00E5542A">
        <w:rPr>
          <w:b/>
        </w:rPr>
        <w:t xml:space="preserve"> DPH</w:t>
      </w:r>
      <w:r w:rsidRPr="00E5542A">
        <w:t>. Tuto cenu nelze překročit. Smluvní strany prohlašují, že objednatel je oprávněn podávat dílčí objednávky</w:t>
      </w:r>
      <w:r w:rsidR="007710F5">
        <w:t xml:space="preserve"> se specifikací služby a termínem plnění</w:t>
      </w:r>
      <w:r w:rsidR="00813D71" w:rsidRPr="00E5542A">
        <w:t>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>Ceny uvedené v </w:t>
      </w:r>
      <w:r w:rsidR="007710F5">
        <w:t>nabídce</w:t>
      </w:r>
      <w:r w:rsidRPr="00E5542A">
        <w:t xml:space="preserve"> jsou platné po celou dobu platnosti smlouvy.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both"/>
      </w:pPr>
    </w:p>
    <w:p w:rsidR="00907514" w:rsidRPr="00E5542A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>Dodavatel je povinen v případě, že by celková úhrada dle této smlouvy přesáhla limit stanovený v odst. 2. tohoto článku smlouvy, předem písemně upozornit objednatele na tuto skutečnost. Dodavatel nesmí zahájit plnění předmětu smlouvy, které by následně požadoval vyfakturovat v ceně překračující finanční limit.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>Dodavatel bude průběžně vystavovat faktury za jednotlivé dodávky na základě dílčích pís</w:t>
      </w:r>
      <w:r w:rsidR="00B23BA3" w:rsidRPr="00E5542A">
        <w:t>emných objednávek objednatele dle potřeb objednatele.</w:t>
      </w:r>
      <w:r w:rsidRPr="00E5542A">
        <w:t xml:space="preserve">  Objednávat dodávky jsou oprávněni zaměstnanci</w:t>
      </w:r>
      <w:r w:rsidR="007710F5">
        <w:t xml:space="preserve"> odborných útvarů na základě schválení příslušného ředitele odboru.</w:t>
      </w:r>
      <w:r w:rsidRPr="00E5542A">
        <w:t xml:space="preserve"> Dodavatel provede vyúčtování ceny za provedené dodávky formou faktury bez poskytnutí zálohy. Faktura bude mít požadované náležitosti daňového dokladu dle právní úpravy.</w:t>
      </w:r>
    </w:p>
    <w:p w:rsidR="00CA0BD3" w:rsidRDefault="00CA0BD3" w:rsidP="00CA0BD3">
      <w:pPr>
        <w:pStyle w:val="Odstavecseseznamem"/>
      </w:pPr>
    </w:p>
    <w:p w:rsidR="00CA0BD3" w:rsidRDefault="00CA0BD3" w:rsidP="00CA0BD3">
      <w:pPr>
        <w:pStyle w:val="Odstavecseseznamem"/>
        <w:numPr>
          <w:ilvl w:val="0"/>
          <w:numId w:val="3"/>
        </w:numPr>
        <w:spacing w:after="120"/>
        <w:ind w:left="426"/>
        <w:jc w:val="both"/>
      </w:pPr>
      <w:r w:rsidRPr="00F85724">
        <w:t xml:space="preserve">Všechny částky v Kč poukazované mezi </w:t>
      </w:r>
      <w:r>
        <w:t>objednatelem</w:t>
      </w:r>
      <w:r w:rsidRPr="00F85724">
        <w:t xml:space="preserve"> a </w:t>
      </w:r>
      <w:r>
        <w:t>zhotovitelem</w:t>
      </w:r>
      <w:r w:rsidRPr="00F85724">
        <w:t xml:space="preserve"> na základě této </w:t>
      </w:r>
      <w:r>
        <w:t>s</w:t>
      </w:r>
      <w:r w:rsidRPr="00F85724">
        <w:t>mlouvy musí být prosté jakýchkoli bankovních poplatků nebo jiných nákladů spojených s převodem na jejich účty.</w:t>
      </w:r>
    </w:p>
    <w:p w:rsidR="00CA0BD3" w:rsidRDefault="00CA0BD3" w:rsidP="00CA0BD3">
      <w:pPr>
        <w:pStyle w:val="Odstavecseseznamem"/>
        <w:ind w:left="426"/>
      </w:pPr>
    </w:p>
    <w:p w:rsidR="00CA0BD3" w:rsidRDefault="00CA0BD3" w:rsidP="00CA0BD3">
      <w:pPr>
        <w:pStyle w:val="Odstavecseseznamem"/>
        <w:numPr>
          <w:ilvl w:val="0"/>
          <w:numId w:val="3"/>
        </w:numPr>
        <w:spacing w:after="120"/>
        <w:ind w:left="426"/>
        <w:jc w:val="both"/>
      </w:pPr>
      <w:r w:rsidRPr="00F85724">
        <w:t xml:space="preserve">Pokud daňový doklad (faktura) neobsahuje všechny zákonem a smlouvou stanovené náležitosti, je </w:t>
      </w:r>
      <w:r>
        <w:t xml:space="preserve">objednatel </w:t>
      </w:r>
      <w:r w:rsidRPr="00F85724">
        <w:t xml:space="preserve">oprávněn ji do data splatnosti vrátit s tím, že </w:t>
      </w:r>
      <w:r>
        <w:t>zhotovitel</w:t>
      </w:r>
      <w:r w:rsidRPr="00F85724">
        <w:t xml:space="preserve"> je poté povinen vystavit nový daňový doklad (fakturu) s novým termínem splatnosti. Ve vrácené faktuře musí </w:t>
      </w:r>
      <w:r>
        <w:t xml:space="preserve">objednatel </w:t>
      </w:r>
      <w:r w:rsidRPr="00F85724">
        <w:t xml:space="preserve">vyznačit důvod vrácení. </w:t>
      </w:r>
      <w:r>
        <w:t>Zhotovitel</w:t>
      </w:r>
      <w:r w:rsidRPr="00F85724">
        <w:t xml:space="preserve"> je povinen vystavit nový daňový doklad (fakturu) s tím, že oprávněným vrácením faktury přestává běžet původní lhůta splatnosti a běží nová lhůta </w:t>
      </w:r>
      <w:r w:rsidRPr="00480736">
        <w:t xml:space="preserve">stanovená v čl. </w:t>
      </w:r>
      <w:r w:rsidR="00F55BFD">
        <w:t>III</w:t>
      </w:r>
      <w:r w:rsidRPr="00480736">
        <w:t>.</w:t>
      </w:r>
      <w:r w:rsidR="00F55BFD">
        <w:t xml:space="preserve"> odst. 4</w:t>
      </w:r>
      <w:r w:rsidRPr="00480736">
        <w:t>.</w:t>
      </w:r>
      <w:r w:rsidRPr="00F85724">
        <w:t xml:space="preserve"> této </w:t>
      </w:r>
      <w:r>
        <w:t>s</w:t>
      </w:r>
      <w:r w:rsidRPr="00F85724">
        <w:t xml:space="preserve">mlouvy ode dne prokazatelného doručení opraveného a všemi náležitostmi opatřeného daňového dokladu (faktury) </w:t>
      </w:r>
      <w:r>
        <w:t>objednateli</w:t>
      </w:r>
      <w:r w:rsidRPr="00F85724">
        <w:t>.</w:t>
      </w:r>
    </w:p>
    <w:p w:rsidR="00907514" w:rsidRPr="00E5542A" w:rsidRDefault="00907514" w:rsidP="00CA0BD3">
      <w:pPr>
        <w:widowControl w:val="0"/>
        <w:autoSpaceDE w:val="0"/>
        <w:autoSpaceDN w:val="0"/>
        <w:adjustRightInd w:val="0"/>
        <w:contextualSpacing/>
        <w:jc w:val="both"/>
      </w:pPr>
    </w:p>
    <w:p w:rsidR="00907514" w:rsidRPr="00E5542A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>Splatnost jednotlivých faktur činí 2</w:t>
      </w:r>
      <w:r w:rsidR="00813D71" w:rsidRPr="00E5542A">
        <w:t>1</w:t>
      </w:r>
      <w:r w:rsidRPr="00E5542A">
        <w:t xml:space="preserve"> kalendářních dnů od prokazatelného doručení faktury objednateli.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 xml:space="preserve">Podkladem pro vystavení faktury je vždy písemná objednávka v kompetenci </w:t>
      </w:r>
      <w:r w:rsidR="007710F5">
        <w:t>příslušného ředitele odboru</w:t>
      </w:r>
      <w:r w:rsidRPr="00E5542A">
        <w:t>.</w:t>
      </w:r>
    </w:p>
    <w:p w:rsidR="00F55BFD" w:rsidRDefault="00F55BFD" w:rsidP="00F55BFD">
      <w:pPr>
        <w:pStyle w:val="Odstavecseseznamem"/>
      </w:pPr>
    </w:p>
    <w:p w:rsidR="00F55BFD" w:rsidRPr="00E5542A" w:rsidRDefault="00F55BFD" w:rsidP="00F55BFD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E5542A">
        <w:rPr>
          <w:b/>
        </w:rPr>
        <w:t>V.</w:t>
      </w:r>
    </w:p>
    <w:p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Trvání a platnost smlouvy</w:t>
      </w:r>
    </w:p>
    <w:p w:rsidR="00970AFA" w:rsidRDefault="00970AFA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CA0BD3" w:rsidRPr="00CA0BD3" w:rsidRDefault="00CA0BD3" w:rsidP="00CA0B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</w:pPr>
      <w:r>
        <w:t xml:space="preserve">Tato smlouva se uzavírá na dobu 1 roku od podpisu smlouvy nebo do vyčerpání celkové ceny podle čl. </w:t>
      </w:r>
      <w:r w:rsidR="00F55BFD">
        <w:t>III, odst. 2.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907514" w:rsidRPr="00E5542A" w:rsidRDefault="00F55BFD" w:rsidP="0090751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</w:pPr>
      <w:r>
        <w:t>Smluvní strany mohou ukončit platnost smlouvy výpovědí</w:t>
      </w:r>
      <w:r w:rsidR="00907514" w:rsidRPr="00E5542A">
        <w:t xml:space="preserve"> i bez udání důvodů v jednoměsíční výpovědní lhůtě, která začíná běžet prvním dnem měsíce následujícího po doručení písemné výpovědi druhé smluvní straně.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90751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 xml:space="preserve">Objednatel může od smlouvy odstoupit, pokud dodavatel závažným způsobem poruší některé </w:t>
      </w:r>
      <w:r w:rsidRPr="00E5542A">
        <w:lastRenderedPageBreak/>
        <w:t>ustanovení této smlouvy. Odstoupení musí objednatel učinit písemně a jeho účinky nastávají okamžikem doručení zhotoviteli.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E5542A">
        <w:rPr>
          <w:b/>
          <w:lang w:val="en-US"/>
        </w:rPr>
        <w:t>VI.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Povinnosti dodavatele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907514" w:rsidRPr="00E5542A" w:rsidRDefault="00907514" w:rsidP="0090751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 xml:space="preserve">Všechny dodávky musí být poskytnuty objednateli v požadovaném rozsahu, a to bez jakéhokoliv omezení; dodavatel nebude oprávněn doúčtovat objednateli jakékoli dodatečné práce, služby či dodávky, které budou nezbytné pro řádné splnění dílčího předmětu smlouvy, a to např. i z důvodu, že dodavatel chybně odhadl nabídkovou (smluvní) cenu. 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90751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>Veškeré činnosti je dodavatel povinen provádět s náležitou péčí a odbornou způsobilostí. Všechny služby musí být poskytnuty v požadovaném rozsahu, a to bez jakéhokoliv omezení.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90751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>Dodavatel odpovídá za všechny škody vzniklé jeho činností při plnění předmětu smlouvy.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VII.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Ostatní ujednání</w:t>
      </w:r>
    </w:p>
    <w:p w:rsidR="00907514" w:rsidRPr="00E5542A" w:rsidRDefault="00907514" w:rsidP="00907514">
      <w:pPr>
        <w:ind w:left="360"/>
        <w:jc w:val="both"/>
      </w:pPr>
    </w:p>
    <w:p w:rsidR="00907514" w:rsidRPr="00E5542A" w:rsidRDefault="00907514" w:rsidP="00907514">
      <w:pPr>
        <w:numPr>
          <w:ilvl w:val="0"/>
          <w:numId w:val="6"/>
        </w:numPr>
        <w:jc w:val="both"/>
      </w:pPr>
      <w:r w:rsidRPr="00E5542A">
        <w:t xml:space="preserve">V případě prodlení dodavatele se splněním povinnosti dodání </w:t>
      </w:r>
      <w:r w:rsidR="003F128E">
        <w:t>dílčí dodávky</w:t>
      </w:r>
      <w:r w:rsidRPr="00E5542A">
        <w:t xml:space="preserve"> se dodavatel zavazuje zaplatit objednateli smluvní pokutu ve výši </w:t>
      </w:r>
      <w:r w:rsidR="005558E8">
        <w:t>2.0</w:t>
      </w:r>
      <w:r w:rsidRPr="00E5542A">
        <w:t>00,- Kč, a to za každý kalendářní den prodlení</w:t>
      </w:r>
      <w:r w:rsidR="005558E8">
        <w:t xml:space="preserve">, </w:t>
      </w:r>
      <w:r w:rsidRPr="00E5542A">
        <w:t>až do řádného splnění závazku. Tím není dotčeno právo objednatele na náhradu škody v plné výši, tedy i ve výši přesahující smluvní pokutu.</w:t>
      </w:r>
    </w:p>
    <w:p w:rsidR="00907514" w:rsidRPr="00E5542A" w:rsidRDefault="00907514" w:rsidP="00813D71">
      <w:pPr>
        <w:jc w:val="both"/>
      </w:pPr>
    </w:p>
    <w:p w:rsidR="00907514" w:rsidRPr="00E5542A" w:rsidRDefault="00907514" w:rsidP="00907514">
      <w:pPr>
        <w:numPr>
          <w:ilvl w:val="0"/>
          <w:numId w:val="6"/>
        </w:numPr>
        <w:jc w:val="both"/>
      </w:pPr>
      <w:r w:rsidRPr="00E5542A">
        <w:t xml:space="preserve">Prodlení dodavatele se splněním povinnosti </w:t>
      </w:r>
      <w:r w:rsidR="00B23BA3" w:rsidRPr="00E5542A">
        <w:t xml:space="preserve">dodání </w:t>
      </w:r>
      <w:r w:rsidR="003F128E">
        <w:t>dílčí dodávky</w:t>
      </w:r>
      <w:r w:rsidR="00B23BA3" w:rsidRPr="00E5542A">
        <w:t xml:space="preserve">, a to o více jak </w:t>
      </w:r>
      <w:r w:rsidR="00813D71" w:rsidRPr="00E5542A">
        <w:t xml:space="preserve">10 </w:t>
      </w:r>
      <w:r w:rsidRPr="00E5542A">
        <w:t>pracovních dnů, bude považováno za podstatné porušení smlouvy ze strany dodavatele a v takovém případě je objednatel oprávněn od této smlouvy odstoupit. Odstoupení od smlouvy je účinné okamžikem doručení písemného odstoupení od smlouvy dodavateli.</w:t>
      </w:r>
    </w:p>
    <w:p w:rsidR="00907514" w:rsidRPr="00E5542A" w:rsidRDefault="00907514" w:rsidP="00907514">
      <w:pPr>
        <w:ind w:left="360"/>
        <w:jc w:val="both"/>
      </w:pPr>
    </w:p>
    <w:p w:rsidR="00907514" w:rsidRPr="00E5542A" w:rsidRDefault="00907514" w:rsidP="00907514">
      <w:pPr>
        <w:numPr>
          <w:ilvl w:val="0"/>
          <w:numId w:val="6"/>
        </w:numPr>
        <w:jc w:val="both"/>
      </w:pPr>
      <w:r w:rsidRPr="00E5542A">
        <w:t>V případě, že dodavatel použije byť i jen k plnění určité části předmětu smlouvy subdodavatele, odpovídá objednateli za plnění poskytnuté subdodavatelem jako by toto plnění poskytoval dodavatel sám.</w:t>
      </w:r>
    </w:p>
    <w:p w:rsidR="00907514" w:rsidRPr="00E5542A" w:rsidRDefault="00907514" w:rsidP="00907514">
      <w:pPr>
        <w:ind w:left="360"/>
        <w:jc w:val="both"/>
      </w:pPr>
    </w:p>
    <w:p w:rsidR="00907514" w:rsidRPr="00E5542A" w:rsidRDefault="00907514" w:rsidP="00907514">
      <w:pPr>
        <w:numPr>
          <w:ilvl w:val="0"/>
          <w:numId w:val="6"/>
        </w:numPr>
        <w:ind w:left="357"/>
        <w:jc w:val="both"/>
      </w:pPr>
      <w:r w:rsidRPr="00E5542A">
        <w:t>Dodavatel nese plnou odpovědnost za škodu způsobenou objednateli v souvislosti s plněním předmětu smlouvy a zavazuje se takovou škodu objednateli uhradit. Výše náhrady škody není omezena.</w:t>
      </w:r>
    </w:p>
    <w:p w:rsidR="00907514" w:rsidRPr="00E5542A" w:rsidRDefault="00907514" w:rsidP="00907514">
      <w:pPr>
        <w:ind w:left="357"/>
        <w:contextualSpacing/>
        <w:jc w:val="both"/>
      </w:pPr>
    </w:p>
    <w:p w:rsidR="00907514" w:rsidRPr="00E5542A" w:rsidRDefault="00907514" w:rsidP="00907514">
      <w:pPr>
        <w:numPr>
          <w:ilvl w:val="0"/>
          <w:numId w:val="6"/>
        </w:numPr>
        <w:ind w:left="357"/>
        <w:jc w:val="both"/>
      </w:pPr>
      <w:r w:rsidRPr="00E5542A">
        <w:t>Dodavatel vyslovuje souhlas s tím, že objednatel v rámci transparentnosti zveřejní smlouvu (včetně případných doda</w:t>
      </w:r>
      <w:r w:rsidR="00813D71" w:rsidRPr="00E5542A">
        <w:t>tků) na internetových stránkách</w:t>
      </w:r>
      <w:r w:rsidRPr="00E5542A">
        <w:t>.</w:t>
      </w:r>
    </w:p>
    <w:p w:rsidR="00907514" w:rsidRPr="00E5542A" w:rsidRDefault="00907514" w:rsidP="00F55BFD">
      <w:pPr>
        <w:widowControl w:val="0"/>
        <w:autoSpaceDE w:val="0"/>
        <w:autoSpaceDN w:val="0"/>
        <w:adjustRightInd w:val="0"/>
        <w:contextualSpacing/>
        <w:jc w:val="both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rPr>
          <w:lang w:val="en-US"/>
        </w:rPr>
      </w:pPr>
    </w:p>
    <w:p w:rsidR="00907514" w:rsidRPr="00E5542A" w:rsidRDefault="00F55BFD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VIII</w:t>
      </w:r>
      <w:r w:rsidR="00907514" w:rsidRPr="00E5542A">
        <w:rPr>
          <w:b/>
        </w:rPr>
        <w:t>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Závěrečná ustanovení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>Smluvní strany shodně prohlašují, že si tuto smlouvu před jejím podpisem přečetly, že byla uzavřena po vzájemném projednání podle jejich pravé a svobodné vůle, určitě, vážně a srozumitelně.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90751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 xml:space="preserve">Tato </w:t>
      </w:r>
      <w:r w:rsidR="00827B0F" w:rsidRPr="00E5542A">
        <w:t xml:space="preserve">smlouva je vyhotovena ve </w:t>
      </w:r>
      <w:r w:rsidR="00741755" w:rsidRPr="00E5542A">
        <w:t xml:space="preserve">dvou </w:t>
      </w:r>
      <w:r w:rsidRPr="00E5542A">
        <w:t>stejnopisech s platnost</w:t>
      </w:r>
      <w:r w:rsidR="00827B0F" w:rsidRPr="00E5542A">
        <w:t>í originálu, z nichž jedno vyhotovení</w:t>
      </w:r>
      <w:r w:rsidRPr="00E5542A">
        <w:t xml:space="preserve"> obdrží </w:t>
      </w:r>
      <w:r w:rsidR="00827B0F" w:rsidRPr="00E5542A">
        <w:t xml:space="preserve">dodavatel a </w:t>
      </w:r>
      <w:r w:rsidR="00741755" w:rsidRPr="00E5542A">
        <w:t>jedno</w:t>
      </w:r>
      <w:r w:rsidR="00827B0F" w:rsidRPr="00E5542A">
        <w:t xml:space="preserve"> vyhotovení obdrží objednatel.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90751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>Tuto smlouvu lze měnit a doplňovat pouze písemnými dodatky podepsanými oběma stranami.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90751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>Smlouva nabývá platnosti a účinnosti dnem podpisu smluvních stran.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rPr>
          <w:color w:val="FF0000"/>
        </w:rPr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  <w:r w:rsidRPr="00E5542A">
        <w:t>V</w:t>
      </w:r>
      <w:r w:rsidR="00741755" w:rsidRPr="00E5542A">
        <w:t xml:space="preserve"> Praze </w:t>
      </w:r>
      <w:r w:rsidR="00827B0F" w:rsidRPr="00E5542A">
        <w:t>dne:</w:t>
      </w:r>
      <w:r w:rsidR="00827B0F" w:rsidRPr="00E5542A">
        <w:tab/>
        <w:t xml:space="preserve">                        </w:t>
      </w:r>
      <w:r w:rsidR="00827B0F" w:rsidRPr="00E5542A">
        <w:tab/>
      </w:r>
      <w:r w:rsidR="00741755" w:rsidRPr="00E5542A">
        <w:t xml:space="preserve">                                 </w:t>
      </w:r>
      <w:r w:rsidR="00827B0F" w:rsidRPr="00E5542A">
        <w:t>V ….……………..</w:t>
      </w:r>
      <w:r w:rsidRPr="00E5542A">
        <w:t xml:space="preserve"> dne: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741755">
      <w:pPr>
        <w:widowControl w:val="0"/>
        <w:autoSpaceDE w:val="0"/>
        <w:autoSpaceDN w:val="0"/>
        <w:adjustRightInd w:val="0"/>
      </w:pPr>
    </w:p>
    <w:p w:rsidR="00827B0F" w:rsidRPr="00E5542A" w:rsidRDefault="00827B0F" w:rsidP="00907514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  <w:r w:rsidRPr="00E5542A">
        <w:t xml:space="preserve">                                                                                                                   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rPr>
          <w:b/>
        </w:rPr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  <w:r w:rsidRPr="00E5542A">
        <w:t xml:space="preserve">    (objednatel)</w:t>
      </w:r>
      <w:r w:rsidRPr="00E5542A">
        <w:tab/>
      </w:r>
      <w:r w:rsidRPr="00E5542A">
        <w:tab/>
      </w:r>
      <w:r w:rsidRPr="00E5542A">
        <w:tab/>
      </w:r>
      <w:r w:rsidRPr="00E5542A">
        <w:tab/>
      </w:r>
      <w:r w:rsidRPr="00E5542A">
        <w:tab/>
        <w:t xml:space="preserve">  </w:t>
      </w:r>
      <w:r w:rsidRPr="00E5542A">
        <w:tab/>
        <w:t xml:space="preserve"> </w:t>
      </w:r>
      <w:r w:rsidR="003F128E">
        <w:t xml:space="preserve">             </w:t>
      </w:r>
      <w:r w:rsidRPr="00E5542A">
        <w:t xml:space="preserve">    (dodavatel)</w:t>
      </w:r>
    </w:p>
    <w:p w:rsidR="00907514" w:rsidRPr="00E5542A" w:rsidRDefault="00907514" w:rsidP="00907514"/>
    <w:p w:rsidR="00907514" w:rsidRPr="00E5542A" w:rsidRDefault="00907514" w:rsidP="00907514"/>
    <w:p w:rsidR="00907514" w:rsidRPr="00E5542A" w:rsidRDefault="00907514" w:rsidP="00907514"/>
    <w:p w:rsidR="00907514" w:rsidRPr="00E5542A" w:rsidRDefault="00907514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</w:p>
    <w:p w:rsidR="00E616C7" w:rsidRPr="00E5542A" w:rsidRDefault="00E616C7"/>
    <w:sectPr w:rsidR="00E616C7" w:rsidRPr="00E5542A" w:rsidSect="00213024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C49" w:rsidRDefault="00A55C49">
      <w:r>
        <w:separator/>
      </w:r>
    </w:p>
  </w:endnote>
  <w:endnote w:type="continuationSeparator" w:id="0">
    <w:p w:rsidR="00A55C49" w:rsidRDefault="00A5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C49" w:rsidRDefault="00A55C49">
      <w:r>
        <w:separator/>
      </w:r>
    </w:p>
  </w:footnote>
  <w:footnote w:type="continuationSeparator" w:id="0">
    <w:p w:rsidR="00A55C49" w:rsidRDefault="00A55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77C92"/>
    <w:multiLevelType w:val="hybridMultilevel"/>
    <w:tmpl w:val="F8F42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37AC4"/>
    <w:multiLevelType w:val="hybridMultilevel"/>
    <w:tmpl w:val="F64EAC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D6515"/>
    <w:multiLevelType w:val="hybridMultilevel"/>
    <w:tmpl w:val="9C3E6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F0AE2"/>
    <w:multiLevelType w:val="hybridMultilevel"/>
    <w:tmpl w:val="5E64A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5568E"/>
    <w:multiLevelType w:val="hybridMultilevel"/>
    <w:tmpl w:val="8DB8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962AC"/>
    <w:multiLevelType w:val="hybridMultilevel"/>
    <w:tmpl w:val="5780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7B7FB4"/>
    <w:multiLevelType w:val="hybridMultilevel"/>
    <w:tmpl w:val="D95C3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7C06BD"/>
    <w:multiLevelType w:val="hybridMultilevel"/>
    <w:tmpl w:val="D666A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2097D"/>
    <w:multiLevelType w:val="hybridMultilevel"/>
    <w:tmpl w:val="4E44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3075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0E"/>
    <w:rsid w:val="000221B8"/>
    <w:rsid w:val="00042329"/>
    <w:rsid w:val="00055AE8"/>
    <w:rsid w:val="00064459"/>
    <w:rsid w:val="00084F5C"/>
    <w:rsid w:val="000A39A7"/>
    <w:rsid w:val="000D22D1"/>
    <w:rsid w:val="00142DA7"/>
    <w:rsid w:val="0017604F"/>
    <w:rsid w:val="001A1BA8"/>
    <w:rsid w:val="001F374E"/>
    <w:rsid w:val="00213024"/>
    <w:rsid w:val="00257678"/>
    <w:rsid w:val="002826A9"/>
    <w:rsid w:val="00292363"/>
    <w:rsid w:val="00295D0D"/>
    <w:rsid w:val="002B7A34"/>
    <w:rsid w:val="00311656"/>
    <w:rsid w:val="00326660"/>
    <w:rsid w:val="00347508"/>
    <w:rsid w:val="003604DC"/>
    <w:rsid w:val="003A0744"/>
    <w:rsid w:val="003D5818"/>
    <w:rsid w:val="003E6C1B"/>
    <w:rsid w:val="003F128E"/>
    <w:rsid w:val="0043310E"/>
    <w:rsid w:val="004377D5"/>
    <w:rsid w:val="00441D38"/>
    <w:rsid w:val="00494ABF"/>
    <w:rsid w:val="00494E07"/>
    <w:rsid w:val="004C4B71"/>
    <w:rsid w:val="004D08E5"/>
    <w:rsid w:val="004E05C1"/>
    <w:rsid w:val="00522DB2"/>
    <w:rsid w:val="00527F60"/>
    <w:rsid w:val="005558E8"/>
    <w:rsid w:val="005E0AA4"/>
    <w:rsid w:val="00606FD7"/>
    <w:rsid w:val="0061445A"/>
    <w:rsid w:val="006644FB"/>
    <w:rsid w:val="006B188E"/>
    <w:rsid w:val="00701A73"/>
    <w:rsid w:val="007246FF"/>
    <w:rsid w:val="00740F0E"/>
    <w:rsid w:val="00741755"/>
    <w:rsid w:val="007558B0"/>
    <w:rsid w:val="007710F5"/>
    <w:rsid w:val="007E2ACA"/>
    <w:rsid w:val="007F0D36"/>
    <w:rsid w:val="008027C1"/>
    <w:rsid w:val="00813D71"/>
    <w:rsid w:val="00827B0F"/>
    <w:rsid w:val="00836791"/>
    <w:rsid w:val="008F1AE5"/>
    <w:rsid w:val="008F7CBB"/>
    <w:rsid w:val="00907514"/>
    <w:rsid w:val="00970AFA"/>
    <w:rsid w:val="00976B4A"/>
    <w:rsid w:val="00997EA9"/>
    <w:rsid w:val="009E6014"/>
    <w:rsid w:val="00A228B3"/>
    <w:rsid w:val="00A55C49"/>
    <w:rsid w:val="00A71910"/>
    <w:rsid w:val="00A909F4"/>
    <w:rsid w:val="00A92E2B"/>
    <w:rsid w:val="00AA16F4"/>
    <w:rsid w:val="00AB5184"/>
    <w:rsid w:val="00B028AA"/>
    <w:rsid w:val="00B23BA3"/>
    <w:rsid w:val="00B24B05"/>
    <w:rsid w:val="00B3721D"/>
    <w:rsid w:val="00B72CD2"/>
    <w:rsid w:val="00BA4DA1"/>
    <w:rsid w:val="00BB2E05"/>
    <w:rsid w:val="00BC00E3"/>
    <w:rsid w:val="00C47CA2"/>
    <w:rsid w:val="00CA0BD3"/>
    <w:rsid w:val="00CE6D39"/>
    <w:rsid w:val="00CF263A"/>
    <w:rsid w:val="00D818E6"/>
    <w:rsid w:val="00D90B34"/>
    <w:rsid w:val="00D96274"/>
    <w:rsid w:val="00DA6C1F"/>
    <w:rsid w:val="00E5542A"/>
    <w:rsid w:val="00E616C7"/>
    <w:rsid w:val="00E928F4"/>
    <w:rsid w:val="00EE1081"/>
    <w:rsid w:val="00EF149B"/>
    <w:rsid w:val="00F05B6B"/>
    <w:rsid w:val="00F073EA"/>
    <w:rsid w:val="00F51975"/>
    <w:rsid w:val="00F5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9BE1E7-AAA8-4C13-9114-63D76AD5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3BA3"/>
    <w:rPr>
      <w:sz w:val="24"/>
      <w:szCs w:val="24"/>
    </w:rPr>
  </w:style>
  <w:style w:type="paragraph" w:styleId="Textbubliny">
    <w:name w:val="Balloon Text"/>
    <w:basedOn w:val="Normln"/>
    <w:link w:val="TextbublinyChar"/>
    <w:rsid w:val="00B23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23BA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57678"/>
    <w:pPr>
      <w:jc w:val="center"/>
    </w:pPr>
    <w:rPr>
      <w:b/>
      <w:smallCap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257678"/>
    <w:rPr>
      <w:b/>
      <w:smallCaps/>
      <w:sz w:val="28"/>
    </w:rPr>
  </w:style>
  <w:style w:type="paragraph" w:styleId="Prosttext">
    <w:name w:val="Plain Text"/>
    <w:basedOn w:val="Normln"/>
    <w:link w:val="ProsttextChar"/>
    <w:uiPriority w:val="99"/>
    <w:rsid w:val="00527F6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27F60"/>
    <w:rPr>
      <w:rFonts w:ascii="Courier New" w:hAnsi="Courier New"/>
      <w:lang w:val="x-none" w:eastAsia="x-none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CA0BD3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970A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ovaV\Dod&#225;vka%20hygienick&#253;ch%20pot&#345;eb\P&#345;&#237;loha%20&#269;.%203%20Vzor%20r&#225;mcov&#233;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F9F36-5F0C-4A21-8C95-28B3BEBF0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D4130A-ECC2-441D-B3D9-2C99E8B08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44807A-9AA4-4B5B-9619-E92291E3B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3 Vzor rámcové smlouvy</Template>
  <TotalTime>57</TotalTime>
  <Pages>6</Pages>
  <Words>1590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10955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Máchová Vladimíra</dc:creator>
  <cp:lastModifiedBy>Martoch Miroslav Ing.</cp:lastModifiedBy>
  <cp:revision>5</cp:revision>
  <cp:lastPrinted>2017-01-13T10:57:00Z</cp:lastPrinted>
  <dcterms:created xsi:type="dcterms:W3CDTF">2017-03-03T06:34:00Z</dcterms:created>
  <dcterms:modified xsi:type="dcterms:W3CDTF">2017-03-03T11:31:00Z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4541/H/2015-HSPH</vt:lpwstr>
  </property>
  <property fmtid="{D5CDD505-2E9C-101B-9397-08002B2CF9AE}" pid="4" name="BARCODE_STOP">
    <vt:lpwstr>@œ</vt:lpwstr>
  </property>
  <property fmtid="{D5CDD505-2E9C-101B-9397-08002B2CF9AE}" pid="5" name="OD_Cj">
    <vt:lpwstr>UZSVM/H/3746/2015-HSPH</vt:lpwstr>
  </property>
  <property fmtid="{D5CDD505-2E9C-101B-9397-08002B2CF9AE}" pid="6" name="Vlastnik">
    <vt:lpwstr>Máchová Vladimíra</vt:lpwstr>
  </property>
  <property fmtid="{D5CDD505-2E9C-101B-9397-08002B2CF9AE}" pid="7" name="Telefon">
    <vt:lpwstr>+420 495 853 205</vt:lpwstr>
  </property>
  <property fmtid="{D5CDD505-2E9C-101B-9397-08002B2CF9AE}" pid="8" name="Fax">
    <vt:lpwstr>5012</vt:lpwstr>
  </property>
  <property fmtid="{D5CDD505-2E9C-101B-9397-08002B2CF9AE}" pid="9" name="Email">
    <vt:lpwstr>Vladimira.Machova@uzsvm.cz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5012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Horova 180, 502 06 Hradec Králové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65304896</vt:lpwstr>
  </property>
  <property fmtid="{D5CDD505-2E9C-101B-9397-08002B2CF9AE}" pid="26" name="NazevUP">
    <vt:lpwstr>Územní pracoviště Hradec Králové,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17.02.2015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µ#4541/H/2015-HSPH@§¸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