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FBD" w:rsidRPr="0061690F" w:rsidRDefault="001D45F9" w:rsidP="00C570AC">
      <w:pPr>
        <w:rPr>
          <w:rFonts w:cs="Calibri"/>
          <w:b/>
          <w:sz w:val="22"/>
          <w:szCs w:val="22"/>
        </w:rPr>
      </w:pPr>
      <w:r w:rsidRPr="0061690F">
        <w:rPr>
          <w:rFonts w:cs="Calibri"/>
          <w:b/>
          <w:sz w:val="22"/>
          <w:szCs w:val="22"/>
        </w:rPr>
        <w:t xml:space="preserve">Příloha č. </w:t>
      </w:r>
      <w:r w:rsidR="0061690F">
        <w:rPr>
          <w:rFonts w:cs="Calibri"/>
          <w:b/>
          <w:sz w:val="22"/>
          <w:szCs w:val="22"/>
        </w:rPr>
        <w:t>1</w:t>
      </w:r>
      <w:r w:rsidR="00C570AC" w:rsidRPr="0061690F">
        <w:rPr>
          <w:rFonts w:cs="Calibri"/>
          <w:b/>
          <w:sz w:val="22"/>
          <w:szCs w:val="22"/>
        </w:rPr>
        <w:t> </w:t>
      </w:r>
      <w:r w:rsidR="00095168">
        <w:rPr>
          <w:rFonts w:cs="Calibri"/>
          <w:b/>
          <w:sz w:val="22"/>
          <w:szCs w:val="22"/>
        </w:rPr>
        <w:t>Rámcové dohody</w:t>
      </w:r>
      <w:r w:rsidR="00C570AC" w:rsidRPr="0061690F">
        <w:rPr>
          <w:rFonts w:cs="Calibri"/>
          <w:b/>
          <w:sz w:val="22"/>
          <w:szCs w:val="22"/>
        </w:rPr>
        <w:t xml:space="preserve"> </w:t>
      </w:r>
    </w:p>
    <w:p w:rsidR="00C570AC" w:rsidRDefault="00C570AC" w:rsidP="00C570AC">
      <w:pPr>
        <w:rPr>
          <w:rFonts w:cs="Calibri"/>
          <w:b/>
          <w:sz w:val="22"/>
          <w:szCs w:val="22"/>
        </w:rPr>
      </w:pPr>
      <w:r w:rsidRPr="0061690F">
        <w:rPr>
          <w:rFonts w:cs="Calibri"/>
          <w:b/>
          <w:sz w:val="22"/>
          <w:szCs w:val="22"/>
        </w:rPr>
        <w:t>Č</w:t>
      </w:r>
      <w:r w:rsidR="001D45F9" w:rsidRPr="0061690F">
        <w:rPr>
          <w:rFonts w:cs="Calibri"/>
          <w:b/>
          <w:sz w:val="22"/>
          <w:szCs w:val="22"/>
        </w:rPr>
        <w:t>.j.:</w:t>
      </w:r>
      <w:r w:rsidRPr="0061690F">
        <w:rPr>
          <w:rFonts w:cs="Calibri"/>
          <w:b/>
          <w:sz w:val="22"/>
          <w:szCs w:val="22"/>
        </w:rPr>
        <w:t xml:space="preserve"> </w:t>
      </w:r>
      <w:r w:rsidR="00817E44" w:rsidRPr="00817E44">
        <w:rPr>
          <w:rFonts w:cs="Calibri"/>
          <w:b/>
          <w:sz w:val="22"/>
          <w:szCs w:val="22"/>
        </w:rPr>
        <w:t>1/120/2574400–2019</w:t>
      </w:r>
      <w:bookmarkStart w:id="0" w:name="_GoBack"/>
      <w:bookmarkEnd w:id="0"/>
    </w:p>
    <w:p w:rsidR="002C4AFE" w:rsidRDefault="002C4AFE" w:rsidP="00C570AC">
      <w:pPr>
        <w:rPr>
          <w:rFonts w:cs="Calibri"/>
          <w:b/>
          <w:sz w:val="22"/>
          <w:szCs w:val="22"/>
        </w:rPr>
      </w:pPr>
    </w:p>
    <w:p w:rsidR="002C4AFE" w:rsidRDefault="002C4AFE" w:rsidP="00C570AC">
      <w:pPr>
        <w:rPr>
          <w:rFonts w:cs="Calibri"/>
          <w:b/>
          <w:sz w:val="22"/>
          <w:szCs w:val="22"/>
        </w:rPr>
      </w:pPr>
    </w:p>
    <w:p w:rsidR="002C4AFE" w:rsidRPr="002C4AFE" w:rsidRDefault="00700C4E" w:rsidP="002C4AFE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</w:t>
      </w:r>
      <w:r w:rsidR="002C4AFE" w:rsidRPr="002C4AFE">
        <w:rPr>
          <w:rFonts w:cs="Calibri"/>
          <w:b/>
          <w:sz w:val="28"/>
          <w:szCs w:val="28"/>
        </w:rPr>
        <w:t xml:space="preserve">pecifikace </w:t>
      </w:r>
      <w:r>
        <w:rPr>
          <w:rFonts w:cs="Calibri"/>
          <w:b/>
          <w:sz w:val="28"/>
          <w:szCs w:val="28"/>
        </w:rPr>
        <w:t xml:space="preserve">požadovaných </w:t>
      </w:r>
      <w:r w:rsidR="002C4AFE" w:rsidRPr="002C4AFE">
        <w:rPr>
          <w:rFonts w:cs="Calibri"/>
          <w:b/>
          <w:sz w:val="28"/>
          <w:szCs w:val="28"/>
        </w:rPr>
        <w:t>služeb</w:t>
      </w:r>
    </w:p>
    <w:p w:rsidR="002C4AFE" w:rsidRDefault="002C4AFE" w:rsidP="00C570AC">
      <w:pPr>
        <w:rPr>
          <w:rFonts w:cs="Calibri"/>
          <w:b/>
          <w:sz w:val="22"/>
          <w:szCs w:val="22"/>
        </w:rPr>
      </w:pPr>
    </w:p>
    <w:sdt>
      <w:sdtPr>
        <w:rPr>
          <w:rFonts w:ascii="Calibri" w:eastAsia="Times New Roman" w:hAnsi="Calibri"/>
          <w:color w:val="auto"/>
          <w:sz w:val="22"/>
          <w:szCs w:val="22"/>
        </w:rPr>
        <w:id w:val="-1081147546"/>
        <w:docPartObj>
          <w:docPartGallery w:val="Table of Contents"/>
          <w:docPartUnique/>
        </w:docPartObj>
      </w:sdtPr>
      <w:sdtEndPr/>
      <w:sdtContent>
        <w:p w:rsidR="00FD5451" w:rsidRPr="00D36370" w:rsidRDefault="00FD5451">
          <w:pPr>
            <w:pStyle w:val="Nadpisobsahu"/>
            <w:rPr>
              <w:color w:val="385623" w:themeColor="accent6" w:themeShade="80"/>
            </w:rPr>
          </w:pPr>
          <w:r w:rsidRPr="00D36370">
            <w:rPr>
              <w:color w:val="385623" w:themeColor="accent6" w:themeShade="80"/>
            </w:rPr>
            <w:t>Obsah</w:t>
          </w:r>
        </w:p>
        <w:p w:rsidR="00FD5451" w:rsidRDefault="00FD5451" w:rsidP="002C4AFE">
          <w:pPr>
            <w:pStyle w:val="Obsah1"/>
            <w:numPr>
              <w:ilvl w:val="0"/>
              <w:numId w:val="7"/>
            </w:numPr>
          </w:pPr>
          <w:r>
            <w:rPr>
              <w:b/>
              <w:bCs/>
            </w:rPr>
            <w:t>Definice pojmů</w:t>
          </w:r>
          <w:r>
            <w:ptab w:relativeTo="margin" w:alignment="right" w:leader="dot"/>
          </w:r>
          <w:r w:rsidR="002C4AFE" w:rsidRPr="002C4AFE">
            <w:rPr>
              <w:b/>
            </w:rPr>
            <w:t>2</w:t>
          </w:r>
        </w:p>
        <w:p w:rsidR="00FD5451" w:rsidRDefault="00FD5451" w:rsidP="002C4AFE">
          <w:pPr>
            <w:pStyle w:val="Obsah1"/>
            <w:numPr>
              <w:ilvl w:val="0"/>
              <w:numId w:val="7"/>
            </w:numPr>
          </w:pPr>
          <w:r>
            <w:rPr>
              <w:b/>
              <w:bCs/>
            </w:rPr>
            <w:t>Specifikace poskytovaných služeb</w:t>
          </w:r>
          <w:r>
            <w:ptab w:relativeTo="margin" w:alignment="right" w:leader="dot"/>
          </w:r>
          <w:r w:rsidR="002C4AFE" w:rsidRPr="002C4AFE">
            <w:rPr>
              <w:b/>
            </w:rPr>
            <w:t>3</w:t>
          </w:r>
        </w:p>
        <w:p w:rsidR="00FD5451" w:rsidRDefault="00FD5451" w:rsidP="002C4AFE">
          <w:pPr>
            <w:pStyle w:val="Obsah2"/>
            <w:numPr>
              <w:ilvl w:val="0"/>
              <w:numId w:val="7"/>
            </w:numPr>
          </w:pPr>
          <w:r>
            <w:rPr>
              <w:b/>
              <w:bCs/>
            </w:rPr>
            <w:t>Podmínky poskytování služeb</w:t>
          </w:r>
          <w:r>
            <w:ptab w:relativeTo="margin" w:alignment="right" w:leader="dot"/>
          </w:r>
          <w:r w:rsidR="002C4AFE" w:rsidRPr="002C4AFE">
            <w:rPr>
              <w:b/>
            </w:rPr>
            <w:t>4</w:t>
          </w:r>
        </w:p>
        <w:p w:rsidR="00FD5451" w:rsidRDefault="00FD5451" w:rsidP="002C4AFE">
          <w:pPr>
            <w:pStyle w:val="Obsah3"/>
            <w:numPr>
              <w:ilvl w:val="0"/>
              <w:numId w:val="7"/>
            </w:numPr>
          </w:pPr>
          <w:r>
            <w:rPr>
              <w:b/>
              <w:bCs/>
            </w:rPr>
            <w:t>Rozsah poskytovaných služeb</w:t>
          </w:r>
          <w:r>
            <w:ptab w:relativeTo="margin" w:alignment="right" w:leader="dot"/>
          </w:r>
          <w:r w:rsidRPr="00FD5451">
            <w:rPr>
              <w:b/>
            </w:rPr>
            <w:t>5</w:t>
          </w:r>
          <w:r>
            <w:t xml:space="preserve"> </w:t>
          </w:r>
        </w:p>
      </w:sdtContent>
    </w:sdt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</w:p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</w:p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</w:p>
    <w:p w:rsidR="002C4AFE" w:rsidRDefault="002C4AFE">
      <w:pPr>
        <w:spacing w:after="0" w:line="240" w:lineRule="auto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br w:type="page"/>
      </w:r>
    </w:p>
    <w:p w:rsidR="0061690F" w:rsidRPr="0061690F" w:rsidRDefault="0061690F" w:rsidP="0061690F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lastRenderedPageBreak/>
        <w:t>Definice pojmů</w:t>
      </w:r>
    </w:p>
    <w:p w:rsidR="0061690F" w:rsidRPr="0061690F" w:rsidRDefault="0061690F" w:rsidP="0061690F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Havarijní pohotovost</w:t>
      </w:r>
    </w:p>
    <w:p w:rsidR="0061690F" w:rsidRP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Havarijní pohotovost je služba pro řešení havarijních stavů, kdy prostřednictvím telefonického nebo e-mail dispečinku je garantována reakční doba a dojde k zahájení prací na odstranění havarijního stavu.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Hot-line</w:t>
      </w:r>
    </w:p>
    <w:p w:rsidR="0061690F" w:rsidRP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Hot-line se rozumí služba, která je poskytnuta přes telefon za účelem poskytnutí informací o produktech a jejich nastavení. Komunikace může být vedena i elektronickou poštou. Za službu Hot-line je považováno poskytování odpovědí na krátké otázky a konzultace týkající se problémů s provozem a užíváním zařízení (například problémy při instalaci a migraci, návrhu nastavení, ladění produktu, dále problémy týkající se otázek jak používat produkt, při analýze kapacit a jejich plánování, při zálohování a obnově dat, při správě systému, otázky týkající se kompatibility, funkčnosti a spolupráce produktů) nebo součinnosti s dodavatelem ostatních informačních technologií.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Systémová podpora</w:t>
      </w:r>
    </w:p>
    <w:p w:rsidR="0061690F" w:rsidRPr="0061690F" w:rsidRDefault="0061690F" w:rsidP="0061690F">
      <w:pPr>
        <w:pStyle w:val="Odstavecseseznamem"/>
        <w:rPr>
          <w:rFonts w:ascii="Arial" w:hAnsi="Arial" w:cs="Arial"/>
          <w:sz w:val="22"/>
          <w:szCs w:val="22"/>
        </w:rPr>
      </w:pPr>
    </w:p>
    <w:p w:rsidR="0061690F" w:rsidRDefault="0061690F" w:rsidP="0061690F">
      <w:pPr>
        <w:pStyle w:val="Odstavecseseznamem"/>
        <w:ind w:left="0"/>
        <w:rPr>
          <w:rFonts w:ascii="Arial" w:hAnsi="Arial" w:cs="Arial"/>
        </w:rPr>
      </w:pPr>
      <w:r w:rsidRPr="0061690F">
        <w:rPr>
          <w:rFonts w:ascii="Arial" w:hAnsi="Arial" w:cs="Arial"/>
          <w:sz w:val="22"/>
          <w:szCs w:val="22"/>
        </w:rPr>
        <w:t xml:space="preserve">Systémová podpora je souhrn služeb zabezpečovaných Dodavatelem Objednateli na zařízení specifikované v příloze č. </w:t>
      </w:r>
      <w:r w:rsidR="00D36370">
        <w:rPr>
          <w:rFonts w:ascii="Arial" w:hAnsi="Arial" w:cs="Arial"/>
          <w:sz w:val="22"/>
          <w:szCs w:val="22"/>
        </w:rPr>
        <w:t>10</w:t>
      </w:r>
      <w:r w:rsidRPr="0061690F">
        <w:rPr>
          <w:rFonts w:ascii="Arial" w:hAnsi="Arial" w:cs="Arial"/>
          <w:sz w:val="22"/>
          <w:szCs w:val="22"/>
        </w:rPr>
        <w:t xml:space="preserve"> Systémová podpora; vztahuje se na technické zařízení (hardware) i programové vybavení (software a firmware) a cílem je zabezpečení plynulosti provozu hardware a software, minimalizace havarijních stavů.</w:t>
      </w:r>
    </w:p>
    <w:p w:rsidR="00401393" w:rsidRPr="0061690F" w:rsidRDefault="00401393" w:rsidP="006169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1690F" w:rsidRDefault="0061690F" w:rsidP="0061690F">
      <w:pPr>
        <w:pStyle w:val="Odstavecseseznamem"/>
        <w:ind w:left="0"/>
        <w:rPr>
          <w:rFonts w:ascii="Arial" w:hAnsi="Arial" w:cs="Arial"/>
        </w:rPr>
      </w:pPr>
      <w:r w:rsidRPr="0061690F">
        <w:rPr>
          <w:rFonts w:ascii="Arial" w:hAnsi="Arial" w:cs="Arial"/>
          <w:b/>
          <w:sz w:val="22"/>
          <w:szCs w:val="22"/>
        </w:rPr>
        <w:t>Hardware</w:t>
      </w:r>
      <w:r w:rsidRPr="0061690F">
        <w:rPr>
          <w:rFonts w:ascii="Arial" w:hAnsi="Arial" w:cs="Arial"/>
          <w:sz w:val="22"/>
          <w:szCs w:val="22"/>
        </w:rPr>
        <w:t xml:space="preserve"> – technické zařízení (servery, řídící jednotky, disky, napájecí zdroje atd.)</w:t>
      </w:r>
    </w:p>
    <w:p w:rsidR="00401393" w:rsidRPr="0061690F" w:rsidRDefault="00401393" w:rsidP="0061690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Software</w:t>
      </w:r>
      <w:r w:rsidRPr="0061690F">
        <w:rPr>
          <w:rFonts w:ascii="Arial" w:hAnsi="Arial" w:cs="Arial"/>
          <w:sz w:val="22"/>
          <w:szCs w:val="22"/>
        </w:rPr>
        <w:t xml:space="preserve"> – programové vybavení (operační systémy, firemní obslužné programy, diagnostické programy atd.)</w:t>
      </w:r>
    </w:p>
    <w:p w:rsidR="0061690F" w:rsidRPr="0061690F" w:rsidRDefault="0061690F" w:rsidP="0061690F">
      <w:pPr>
        <w:pStyle w:val="Odstavecseseznamem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Hardware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Hardware podpora je služba, součást Systémové podpory, poskytovaná formou diagnostik systémů, sledování chybových stavů, konzultací a doporučení. V případě závady hardware uplatní dodavatel záruční servis u výrobce (HW </w:t>
      </w:r>
      <w:proofErr w:type="spellStart"/>
      <w:r w:rsidRPr="0061690F">
        <w:rPr>
          <w:rFonts w:ascii="Arial" w:hAnsi="Arial" w:cs="Arial"/>
          <w:sz w:val="22"/>
          <w:szCs w:val="22"/>
        </w:rPr>
        <w:t>maintenance</w:t>
      </w:r>
      <w:proofErr w:type="spellEnd"/>
      <w:r w:rsidRPr="0061690F">
        <w:rPr>
          <w:rFonts w:ascii="Arial" w:hAnsi="Arial" w:cs="Arial"/>
          <w:sz w:val="22"/>
          <w:szCs w:val="22"/>
        </w:rPr>
        <w:t>) buď na podnět objednatele/zadavatel nebo na základě vzdálené diagnostiky.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Software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Software podpora je služba, součást Systémové podpory, poskytovaná formou doporučení instalací opravných kódů a </w:t>
      </w:r>
      <w:proofErr w:type="spellStart"/>
      <w:r w:rsidRPr="0061690F">
        <w:rPr>
          <w:rFonts w:ascii="Arial" w:hAnsi="Arial" w:cs="Arial"/>
          <w:sz w:val="22"/>
          <w:szCs w:val="22"/>
        </w:rPr>
        <w:t>maintenance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690F">
        <w:rPr>
          <w:rFonts w:ascii="Arial" w:hAnsi="Arial" w:cs="Arial"/>
          <w:sz w:val="22"/>
          <w:szCs w:val="22"/>
        </w:rPr>
        <w:t>level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a jejich samotné instalace a konfigurace. Software podpora je omezena reálnými možnostmi produktu a funkčností podporovanou výrobcem příslušného software, příslušné verze a sjednaných licenčních práv.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 </w:t>
      </w: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On-</w:t>
      </w:r>
      <w:proofErr w:type="spellStart"/>
      <w:r w:rsidRPr="0061690F">
        <w:rPr>
          <w:rFonts w:ascii="Arial" w:hAnsi="Arial" w:cs="Arial"/>
          <w:b/>
          <w:sz w:val="22"/>
          <w:szCs w:val="22"/>
        </w:rPr>
        <w:t>site</w:t>
      </w:r>
      <w:proofErr w:type="spellEnd"/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Za službu On-</w:t>
      </w:r>
      <w:proofErr w:type="spellStart"/>
      <w:r w:rsidRPr="0061690F">
        <w:rPr>
          <w:rFonts w:ascii="Arial" w:hAnsi="Arial" w:cs="Arial"/>
          <w:sz w:val="22"/>
          <w:szCs w:val="22"/>
        </w:rPr>
        <w:t>site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je považováno poskytování podpory dodavatelem na místě Objednatele. Služba může být poskytnuta i formou vzdáleného přístupu. Předmětem služby je realizace </w:t>
      </w:r>
      <w:r w:rsidRPr="0061690F">
        <w:rPr>
          <w:rFonts w:ascii="Arial" w:hAnsi="Arial" w:cs="Arial"/>
          <w:sz w:val="22"/>
          <w:szCs w:val="22"/>
        </w:rPr>
        <w:lastRenderedPageBreak/>
        <w:t>požadavků na poskytování fyzického zásahu do konfigurace, provedení analýzy problému, pomoc při instalaci firemního software, údržba hardware atd.</w:t>
      </w: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Konfigurační, analytická a rozvojová podpora</w:t>
      </w:r>
    </w:p>
    <w:p w:rsidR="0061690F" w:rsidRP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Služba je poskytována formou analýzy možností různých software a hardware produktů a následnou konzultací s provedením doporučeného nastavení. Služba také zahrnuje rekonfigurace systémů, instalaci software a hardware a konzultace a doporučení případně návrhy budoucího rozvoje systémů Objednatele.</w:t>
      </w:r>
    </w:p>
    <w:p w:rsidR="0061690F" w:rsidRPr="0061690F" w:rsidRDefault="0061690F" w:rsidP="00401393">
      <w:pPr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proofErr w:type="spellStart"/>
      <w:r w:rsidRPr="0061690F">
        <w:rPr>
          <w:rFonts w:ascii="Arial" w:hAnsi="Arial" w:cs="Arial"/>
          <w:b/>
          <w:sz w:val="22"/>
          <w:szCs w:val="22"/>
        </w:rPr>
        <w:t>Specifkace</w:t>
      </w:r>
      <w:proofErr w:type="spellEnd"/>
      <w:r w:rsidRPr="0061690F">
        <w:rPr>
          <w:rFonts w:ascii="Arial" w:hAnsi="Arial" w:cs="Arial"/>
          <w:b/>
          <w:sz w:val="22"/>
          <w:szCs w:val="22"/>
        </w:rPr>
        <w:t xml:space="preserve"> poskytovaných služeb</w:t>
      </w:r>
    </w:p>
    <w:p w:rsidR="0061690F" w:rsidRPr="0061690F" w:rsidRDefault="0061690F" w:rsidP="0061690F">
      <w:pPr>
        <w:rPr>
          <w:rFonts w:ascii="Arial" w:hAnsi="Arial" w:cs="Arial"/>
          <w:b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Havarijní pohotovost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Poskytuje se formou telefonického dispečinku evidujícího hlášení havarijních stavů. Havarijní stavy jsou vyřizovány přednostně. Havarijní stav je stav, vzniklý v důsledku okolností zamezujících činnosti základních funkcí systému, které jsou nezbytné pro provoz aplikací a jejichž funkci nelze dočasně zabezpečit náhradním způsobem.</w:t>
      </w:r>
    </w:p>
    <w:p w:rsidR="00401393" w:rsidRPr="0061690F" w:rsidRDefault="00401393" w:rsidP="00401393">
      <w:pPr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ind w:left="360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Dodavatel řeší havarijní stav následovně:</w:t>
      </w:r>
    </w:p>
    <w:p w:rsidR="0061690F" w:rsidRPr="0061690F" w:rsidRDefault="0061690F" w:rsidP="0061690F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Telefonickými konzultacemi;</w:t>
      </w:r>
    </w:p>
    <w:p w:rsidR="0061690F" w:rsidRPr="0061690F" w:rsidRDefault="0061690F" w:rsidP="0061690F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Přímým zásahem pracovníků dodavatele u Objednatele;</w:t>
      </w:r>
    </w:p>
    <w:p w:rsidR="0061690F" w:rsidRPr="0061690F" w:rsidRDefault="0061690F" w:rsidP="0061690F">
      <w:pPr>
        <w:pStyle w:val="Odstavecseseznamem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Vzdáleným přístupem k systémům.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Hot-line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Služba umožňuje Objednateli odstranit jednoduché závady na základě krátkých telefonických konzultací, případně vzdáleným přístupem k systémům. Služba je součástí Havarijní pohotovosti.</w:t>
      </w:r>
    </w:p>
    <w:p w:rsidR="0061690F" w:rsidRPr="0061690F" w:rsidRDefault="0061690F" w:rsidP="0061690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Systémová podpora</w:t>
      </w: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Předmětem služby jsou preventivní prohlídky, nasazení nových verzí software na základě doporučení výrobce, konzultace, konfigurace systémů, odstranění závad nespadajících pod Havarijní pohotovost, úpravy konfigurací a další činnosti Hardware a Software podpory, na které nemá Objednatel dostatečné odborné znalosti nebo dostatečné kapacity. V závislosti na povaze zásahu a po dohodě s Objednatelem je služba poskytována On-</w:t>
      </w:r>
      <w:proofErr w:type="spellStart"/>
      <w:r w:rsidRPr="0061690F">
        <w:rPr>
          <w:rFonts w:ascii="Arial" w:hAnsi="Arial" w:cs="Arial"/>
          <w:sz w:val="22"/>
          <w:szCs w:val="22"/>
        </w:rPr>
        <w:t>site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nebo vzdáleným přístupem.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Služba se poskytuje na základě požadavku Objednatele.</w:t>
      </w: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Součástí systémové podpory jsou také profylaktické činnosti: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Kontrola správné funkčnosti systémů, kontrola logů kontrola funkčnosti systémových služeb, diagnostika systému;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lastRenderedPageBreak/>
        <w:t>Logické čistění systémů, odstraňování dočasných souborů, kontrola volného místa na discích;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Odstraňování problémů detekovaných systémem;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Instalace opravných kódů (fix, </w:t>
      </w:r>
      <w:proofErr w:type="spellStart"/>
      <w:r w:rsidRPr="0061690F">
        <w:rPr>
          <w:rFonts w:ascii="Arial" w:hAnsi="Arial" w:cs="Arial"/>
          <w:sz w:val="22"/>
          <w:szCs w:val="22"/>
        </w:rPr>
        <w:t>patch</w:t>
      </w:r>
      <w:proofErr w:type="spellEnd"/>
      <w:r w:rsidRPr="0061690F">
        <w:rPr>
          <w:rFonts w:ascii="Arial" w:hAnsi="Arial" w:cs="Arial"/>
          <w:sz w:val="22"/>
          <w:szCs w:val="22"/>
        </w:rPr>
        <w:t>, PTF, e-fix, hot-fix atd.) a doporučených opravných a doplňujících balíků (</w:t>
      </w:r>
      <w:proofErr w:type="spellStart"/>
      <w:r w:rsidRPr="0061690F">
        <w:rPr>
          <w:rFonts w:ascii="Arial" w:hAnsi="Arial" w:cs="Arial"/>
          <w:sz w:val="22"/>
          <w:szCs w:val="22"/>
        </w:rPr>
        <w:t>maintenance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690F">
        <w:rPr>
          <w:rFonts w:ascii="Arial" w:hAnsi="Arial" w:cs="Arial"/>
          <w:sz w:val="22"/>
          <w:szCs w:val="22"/>
        </w:rPr>
        <w:t>level</w:t>
      </w:r>
      <w:proofErr w:type="spellEnd"/>
      <w:r w:rsidRPr="0061690F">
        <w:rPr>
          <w:rFonts w:ascii="Arial" w:hAnsi="Arial" w:cs="Arial"/>
          <w:sz w:val="22"/>
          <w:szCs w:val="22"/>
        </w:rPr>
        <w:t>, fix-</w:t>
      </w:r>
      <w:proofErr w:type="spellStart"/>
      <w:r w:rsidRPr="0061690F">
        <w:rPr>
          <w:rFonts w:ascii="Arial" w:hAnsi="Arial" w:cs="Arial"/>
          <w:sz w:val="22"/>
          <w:szCs w:val="22"/>
        </w:rPr>
        <w:t>pack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1690F">
        <w:rPr>
          <w:rFonts w:ascii="Arial" w:hAnsi="Arial" w:cs="Arial"/>
          <w:sz w:val="22"/>
          <w:szCs w:val="22"/>
        </w:rPr>
        <w:t>service-pack</w:t>
      </w:r>
      <w:proofErr w:type="spellEnd"/>
      <w:r w:rsidRPr="0061690F">
        <w:rPr>
          <w:rFonts w:ascii="Arial" w:hAnsi="Arial" w:cs="Arial"/>
          <w:sz w:val="22"/>
          <w:szCs w:val="22"/>
        </w:rPr>
        <w:t xml:space="preserve"> atd.);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Revize a případná modifikace systémových parametrů, průběžné ladění systému</w:t>
      </w:r>
    </w:p>
    <w:p w:rsidR="0061690F" w:rsidRPr="0061690F" w:rsidRDefault="0061690F" w:rsidP="0061690F">
      <w:pPr>
        <w:pStyle w:val="Odstavecseseznamem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Konzultace, doporučení a informace pro optimální chod systémů (návrhy na rozšíření a změny konfigurace systémů atd.)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Kontakty a kontaktní osoby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Po podpisu Dohody dodavatel do 3 kalendářních dnů poskytne Objednateli: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Kontakt na hlavního architekta a vedoucího realizačního týmu;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Kontakt na vedoucího provozní a systémové podpory;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Telefonní číslo dispečinku Havarijní pohotovosti a Hot-line;</w:t>
      </w:r>
    </w:p>
    <w:p w:rsidR="0061690F" w:rsidRPr="0061690F" w:rsidRDefault="0061690F" w:rsidP="0061690F">
      <w:pPr>
        <w:pStyle w:val="Odstavecseseznamem"/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Kontaktní e-mail dodavatele.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Evidence zásahů</w:t>
      </w: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Služby poskytnuté dle bodu 2.1 Havarijní pohotovost budou evidovány v databázi havarijní pohotovosti dodavatele. Služby poskytnuté dle bodu 2.3 Systémová podpora budou evidovány v deníku zakázky vedené dodavatelem a potvrzené objednatelem.</w:t>
      </w:r>
    </w:p>
    <w:p w:rsidR="00401393" w:rsidRPr="0061690F" w:rsidRDefault="00401393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Default="0061690F" w:rsidP="0061690F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Do deníku zakázky budou obě strany zaznamenávat veškeré skutečnosti důležité pro plnění předmětu Dohody, zejména budou evidovat postup prací, připomínky a požadavky k obsahu poskytnutých služeb, návrhy na jejich řešení a konečné postupy a termíny řešení včetně předpokládaného rozsahu prací.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Povinně bude zaznamenány tyto skutečnosti: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Každý požadavek objednatele na provedení prací dle této Dohody včetně předpokládaného rozsahu prací;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Údaj o provedení a splnění prací včetně doby k provedení prací (specifikované počtem hodin, zahrnuje každou započatou půlhodinu)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Evidenci položek provedených úkonů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Případné vady provedených prací</w:t>
      </w:r>
    </w:p>
    <w:p w:rsidR="0061690F" w:rsidRPr="0061690F" w:rsidRDefault="0061690F" w:rsidP="0061690F">
      <w:pPr>
        <w:pStyle w:val="Odstavecseseznamem"/>
        <w:numPr>
          <w:ilvl w:val="0"/>
          <w:numId w:val="6"/>
        </w:num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Způsob a termíny odstranění vad a další důležité skutečnosti související s poskytováním sjednaných služeb.  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Veškeré údaje zaznamenané v deníku prací potvrzuje objednatel, případně uvede důvody, pro které se zápisem v deníku nesouhlasí. V deníku je nutné uvést podklady pro fakturaci provedených služeb s uvedením, ze které kapitoly jsou hodiny čerpány (Kapitola 1 nebo Kapitola 2).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Podmínky poskytování služeb</w:t>
      </w:r>
    </w:p>
    <w:p w:rsidR="0061690F" w:rsidRPr="0061690F" w:rsidRDefault="0061690F" w:rsidP="0061690F">
      <w:pPr>
        <w:pStyle w:val="Odstavecseseznamem"/>
        <w:spacing w:line="240" w:lineRule="auto"/>
        <w:rPr>
          <w:rFonts w:ascii="Arial" w:hAnsi="Arial" w:cs="Arial"/>
          <w:b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tabs>
          <w:tab w:val="left" w:pos="284"/>
        </w:tabs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Havarijní pohotovost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Garantovaná reakce po nahlášení havarijního stavu je 12 hodin, zásah v místě plnění dohody pak do 24 hodin. Pokud to povaha havarijního stavu dovoluje, může dodavatel zásah v místě plnění dohody nahradit vzdáleným zásahem.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>Objednatel může hlásit havarijní stavy v rozšířené pracovní době, tj. v pracovní den od 8:00 hodin do 20:00 hodin. Hlášení mimo tuto dobu bude zaznamenáno a doba hlášení bude považována 08:00 hodin následujícího pracovního dne.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Havarijní pohotovost je čerpána z Kapitoly 1 a je v 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hodin měsíčně, minimální časová jednotka je půl hodiny. Nevyčerpané hodiny je možné v rámci 1 roku přesouvat do měsíců následujících nebo lze nevyčerpané hodiny využít v následujících měsících pro Systémovou podporu.</w:t>
      </w:r>
    </w:p>
    <w:p w:rsidR="00401393" w:rsidRPr="0061690F" w:rsidRDefault="00401393" w:rsidP="0061690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Systémová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Systémová podpora je čerpána z Kapitoly 2 a je v 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hodin ročně; je prováděna na základě požadavků objednatele a fakturována měsíčně dle skutečně odvedených a objednatelem odsouhlasených prací dle deníku zakázky.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Rozsáhlé práce v rámci Systémové podpory mohou být čerpány z Kapitoly 3 a je v 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člověkodní ročně; jsou prováděny na základě objednatelem odsouhlasené nabídky. Fakturace probíhá na základě objednatelem odsouhlaseného akceptačního protokolu. </w:t>
      </w:r>
    </w:p>
    <w:p w:rsidR="0061690F" w:rsidRPr="0061690F" w:rsidRDefault="0061690F" w:rsidP="0061690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1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Konfigurační, analytická a rozvojová podpora</w:t>
      </w:r>
    </w:p>
    <w:p w:rsidR="0061690F" w:rsidRDefault="0061690F" w:rsidP="00401393">
      <w:pPr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Konfigurační, analytická a rozvojová podpora je čerpána z Kapitoly 2 a je v 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hodin ročně; je prováděna na základě požadavků objednatele a fakturována měsíčně dle skutečně odvedených a objednatelem odsouhlasených prací dle deníku zakázky.</w:t>
      </w:r>
    </w:p>
    <w:p w:rsidR="00401393" w:rsidRPr="0061690F" w:rsidRDefault="00401393" w:rsidP="00401393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Rozsáhlé práce v rámci Konfigurační, analytické a rozvojové podpory mohou být čerpány z Kapitoly 3 a je v rozsahu </w:t>
      </w:r>
      <w:r w:rsidRPr="0061690F">
        <w:rPr>
          <w:rFonts w:ascii="Arial" w:hAnsi="Arial" w:cs="Arial"/>
          <w:sz w:val="22"/>
          <w:szCs w:val="22"/>
          <w:highlight w:val="yellow"/>
        </w:rPr>
        <w:t>….</w:t>
      </w:r>
      <w:r w:rsidRPr="0061690F">
        <w:rPr>
          <w:rFonts w:ascii="Arial" w:hAnsi="Arial" w:cs="Arial"/>
          <w:sz w:val="22"/>
          <w:szCs w:val="22"/>
        </w:rPr>
        <w:t xml:space="preserve"> člověkodní ročně; jsou prováděny na základě objednatelem odsouhlasené nabídky. Fakturace probíhá na základě objednatelem odsouhlaseného akceptačního protokolu.</w:t>
      </w:r>
    </w:p>
    <w:p w:rsidR="0061690F" w:rsidRPr="0061690F" w:rsidRDefault="0061690F" w:rsidP="0061690F">
      <w:pPr>
        <w:spacing w:line="240" w:lineRule="auto"/>
        <w:rPr>
          <w:rFonts w:ascii="Arial" w:hAnsi="Arial" w:cs="Arial"/>
          <w:sz w:val="22"/>
          <w:szCs w:val="22"/>
        </w:rPr>
      </w:pPr>
    </w:p>
    <w:p w:rsidR="0061690F" w:rsidRPr="0061690F" w:rsidRDefault="0061690F" w:rsidP="00401393">
      <w:pPr>
        <w:pStyle w:val="Odstavecseseznamem"/>
        <w:numPr>
          <w:ilvl w:val="0"/>
          <w:numId w:val="1"/>
        </w:numPr>
        <w:spacing w:line="240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61690F">
        <w:rPr>
          <w:rFonts w:ascii="Arial" w:hAnsi="Arial" w:cs="Arial"/>
          <w:b/>
          <w:sz w:val="22"/>
          <w:szCs w:val="22"/>
        </w:rPr>
        <w:t>Rozsah poskytovaných služeb</w:t>
      </w:r>
    </w:p>
    <w:p w:rsidR="0061690F" w:rsidRPr="0061690F" w:rsidRDefault="0061690F" w:rsidP="00401393">
      <w:pPr>
        <w:spacing w:line="240" w:lineRule="auto"/>
        <w:rPr>
          <w:rFonts w:ascii="Arial" w:hAnsi="Arial" w:cs="Arial"/>
          <w:sz w:val="22"/>
          <w:szCs w:val="22"/>
        </w:rPr>
      </w:pPr>
      <w:r w:rsidRPr="0061690F">
        <w:rPr>
          <w:rFonts w:ascii="Arial" w:hAnsi="Arial" w:cs="Arial"/>
          <w:sz w:val="22"/>
          <w:szCs w:val="22"/>
        </w:rPr>
        <w:t xml:space="preserve">Havarijní pohotovost, Systémová podpora, Konfigurační, analytická a rozvojová podpora jsou poskytovány na všechny systémy uvedené v příloze č. 4 Systémová podpora. Příloha č. </w:t>
      </w:r>
      <w:r w:rsidR="00D36370">
        <w:rPr>
          <w:rFonts w:ascii="Arial" w:hAnsi="Arial" w:cs="Arial"/>
          <w:sz w:val="22"/>
          <w:szCs w:val="22"/>
        </w:rPr>
        <w:t>10</w:t>
      </w:r>
      <w:r w:rsidRPr="0061690F">
        <w:rPr>
          <w:rFonts w:ascii="Arial" w:hAnsi="Arial" w:cs="Arial"/>
          <w:sz w:val="22"/>
          <w:szCs w:val="22"/>
        </w:rPr>
        <w:t xml:space="preserve"> Systémová podpora podléhá revizi v případě nákupu nových systémů nebo při vyřazení systémů, nejméně však jednou ročně.</w:t>
      </w:r>
    </w:p>
    <w:p w:rsidR="0061690F" w:rsidRPr="0061690F" w:rsidRDefault="0061690F" w:rsidP="00C570AC">
      <w:pPr>
        <w:rPr>
          <w:rFonts w:ascii="Arial" w:hAnsi="Arial" w:cs="Arial"/>
          <w:b/>
          <w:sz w:val="22"/>
          <w:szCs w:val="22"/>
        </w:rPr>
      </w:pPr>
    </w:p>
    <w:sectPr w:rsidR="0061690F" w:rsidRPr="0061690F" w:rsidSect="00CE11AD">
      <w:headerReference w:type="default" r:id="rId8"/>
      <w:footerReference w:type="default" r:id="rId9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C15" w:rsidRDefault="00445C15">
      <w:r>
        <w:separator/>
      </w:r>
    </w:p>
  </w:endnote>
  <w:endnote w:type="continuationSeparator" w:id="0">
    <w:p w:rsidR="00445C15" w:rsidRDefault="0044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5A3" w:rsidRPr="00CE11AD" w:rsidRDefault="00FD5451" w:rsidP="00FD5451">
    <w:pPr>
      <w:pStyle w:val="Zpat"/>
      <w:spacing w:line="360" w:lineRule="auto"/>
      <w:jc w:val="center"/>
      <w:rPr>
        <w:rFonts w:ascii="Arial" w:hAnsi="Arial" w:cs="Arial"/>
        <w:color w:val="006000"/>
        <w:sz w:val="14"/>
        <w:szCs w:val="14"/>
      </w:rPr>
    </w:pPr>
    <w:r w:rsidRPr="00FD5451">
      <w:rPr>
        <w:rFonts w:ascii="Arial" w:hAnsi="Arial" w:cs="Arial"/>
        <w:color w:val="006000"/>
        <w:sz w:val="20"/>
        <w:szCs w:val="20"/>
      </w:rPr>
      <w:fldChar w:fldCharType="begin"/>
    </w:r>
    <w:r w:rsidRPr="00FD5451">
      <w:rPr>
        <w:rFonts w:ascii="Arial" w:hAnsi="Arial" w:cs="Arial"/>
        <w:color w:val="006000"/>
        <w:sz w:val="20"/>
        <w:szCs w:val="20"/>
      </w:rPr>
      <w:instrText>PAGE   \* MERGEFORMAT</w:instrText>
    </w:r>
    <w:r w:rsidRPr="00FD5451">
      <w:rPr>
        <w:rFonts w:ascii="Arial" w:hAnsi="Arial" w:cs="Arial"/>
        <w:color w:val="006000"/>
        <w:sz w:val="20"/>
        <w:szCs w:val="20"/>
      </w:rPr>
      <w:fldChar w:fldCharType="separate"/>
    </w:r>
    <w:r w:rsidR="00095168">
      <w:rPr>
        <w:rFonts w:ascii="Arial" w:hAnsi="Arial" w:cs="Arial"/>
        <w:noProof/>
        <w:color w:val="006000"/>
        <w:sz w:val="20"/>
        <w:szCs w:val="20"/>
      </w:rPr>
      <w:t>5</w:t>
    </w:r>
    <w:r w:rsidRPr="00FD5451">
      <w:rPr>
        <w:rFonts w:ascii="Arial" w:hAnsi="Arial" w:cs="Arial"/>
        <w:color w:val="006000"/>
        <w:sz w:val="20"/>
        <w:szCs w:val="20"/>
      </w:rPr>
      <w:fldChar w:fldCharType="end"/>
    </w:r>
    <w:r>
      <w:rPr>
        <w:rFonts w:ascii="Arial" w:hAnsi="Arial" w:cs="Arial"/>
        <w:color w:val="006000"/>
        <w:sz w:val="14"/>
        <w:szCs w:val="14"/>
      </w:rPr>
      <w:tab/>
    </w:r>
    <w:r>
      <w:rPr>
        <w:rFonts w:ascii="Arial" w:hAnsi="Arial" w:cs="Arial"/>
        <w:color w:val="006000"/>
        <w:sz w:val="14"/>
        <w:szCs w:val="14"/>
      </w:rPr>
      <w:tab/>
    </w:r>
    <w:r w:rsidR="00CE11AD" w:rsidRPr="00CE11AD">
      <w:rPr>
        <w:rFonts w:ascii="Arial" w:hAnsi="Arial" w:cs="Arial"/>
        <w:color w:val="006000"/>
        <w:sz w:val="14"/>
        <w:szCs w:val="14"/>
      </w:rPr>
      <w:t>www.vozp.cz</w:t>
    </w:r>
  </w:p>
  <w:p w:rsidR="00CE11AD" w:rsidRPr="00CE11AD" w:rsidRDefault="00CE11AD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</w:rPr>
    </w:pPr>
    <w:r w:rsidRPr="00CE11AD">
      <w:rPr>
        <w:rFonts w:ascii="Arial" w:hAnsi="Arial" w:cs="Arial"/>
        <w:color w:val="006000"/>
        <w:sz w:val="14"/>
        <w:szCs w:val="14"/>
      </w:rPr>
      <w:t>infolinka: 844 888 888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C15" w:rsidRDefault="00445C15">
      <w:r>
        <w:separator/>
      </w:r>
    </w:p>
  </w:footnote>
  <w:footnote w:type="continuationSeparator" w:id="0">
    <w:p w:rsidR="00445C15" w:rsidRDefault="0044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5A3" w:rsidRPr="00B445A3" w:rsidRDefault="00FD5451">
    <w:pPr>
      <w:pStyle w:val="Zhlav"/>
    </w:pPr>
    <w:r w:rsidRPr="00FA5B85">
      <w:rPr>
        <w:noProof/>
      </w:rPr>
      <w:drawing>
        <wp:inline distT="0" distB="0" distL="0" distR="0">
          <wp:extent cx="2968625" cy="231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8625" cy="23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123"/>
    <w:multiLevelType w:val="hybridMultilevel"/>
    <w:tmpl w:val="6C009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8798B"/>
    <w:multiLevelType w:val="hybridMultilevel"/>
    <w:tmpl w:val="56EC11D0"/>
    <w:lvl w:ilvl="0" w:tplc="4FC21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245F1"/>
    <w:multiLevelType w:val="multilevel"/>
    <w:tmpl w:val="44A60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A8C2DF1"/>
    <w:multiLevelType w:val="hybridMultilevel"/>
    <w:tmpl w:val="4022E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206A9"/>
    <w:multiLevelType w:val="hybridMultilevel"/>
    <w:tmpl w:val="6EE6D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44EC4"/>
    <w:multiLevelType w:val="hybridMultilevel"/>
    <w:tmpl w:val="1384E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A60DA"/>
    <w:multiLevelType w:val="hybridMultilevel"/>
    <w:tmpl w:val="C4744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3F36"/>
    <w:rsid w:val="00025752"/>
    <w:rsid w:val="00027B44"/>
    <w:rsid w:val="00032C26"/>
    <w:rsid w:val="00037E8F"/>
    <w:rsid w:val="00042B4D"/>
    <w:rsid w:val="00052913"/>
    <w:rsid w:val="00053235"/>
    <w:rsid w:val="00062CC0"/>
    <w:rsid w:val="000863B6"/>
    <w:rsid w:val="00095168"/>
    <w:rsid w:val="000A53A2"/>
    <w:rsid w:val="000B1136"/>
    <w:rsid w:val="000B1517"/>
    <w:rsid w:val="000B4347"/>
    <w:rsid w:val="000C5340"/>
    <w:rsid w:val="000C65DD"/>
    <w:rsid w:val="000D1B8D"/>
    <w:rsid w:val="000D4053"/>
    <w:rsid w:val="000D4B45"/>
    <w:rsid w:val="000D5B09"/>
    <w:rsid w:val="000E14E0"/>
    <w:rsid w:val="000E47E2"/>
    <w:rsid w:val="0010349C"/>
    <w:rsid w:val="00104D91"/>
    <w:rsid w:val="0014247F"/>
    <w:rsid w:val="001430D2"/>
    <w:rsid w:val="00161D9E"/>
    <w:rsid w:val="00164B6C"/>
    <w:rsid w:val="00167166"/>
    <w:rsid w:val="00177EE1"/>
    <w:rsid w:val="001871DE"/>
    <w:rsid w:val="00193582"/>
    <w:rsid w:val="001A05A7"/>
    <w:rsid w:val="001B391D"/>
    <w:rsid w:val="001C1E9B"/>
    <w:rsid w:val="001C212C"/>
    <w:rsid w:val="001D0AA5"/>
    <w:rsid w:val="001D45F9"/>
    <w:rsid w:val="001E1DFB"/>
    <w:rsid w:val="001F359E"/>
    <w:rsid w:val="001F4DE7"/>
    <w:rsid w:val="0020365B"/>
    <w:rsid w:val="0020516B"/>
    <w:rsid w:val="002134F6"/>
    <w:rsid w:val="002153E9"/>
    <w:rsid w:val="002166BD"/>
    <w:rsid w:val="00226CBB"/>
    <w:rsid w:val="00237D72"/>
    <w:rsid w:val="00250B00"/>
    <w:rsid w:val="002513FA"/>
    <w:rsid w:val="0025365F"/>
    <w:rsid w:val="00257009"/>
    <w:rsid w:val="00264812"/>
    <w:rsid w:val="002705BE"/>
    <w:rsid w:val="00273ADA"/>
    <w:rsid w:val="002A1065"/>
    <w:rsid w:val="002C0F08"/>
    <w:rsid w:val="002C4AFE"/>
    <w:rsid w:val="002C553A"/>
    <w:rsid w:val="002C6741"/>
    <w:rsid w:val="002D1D9F"/>
    <w:rsid w:val="002D3F6D"/>
    <w:rsid w:val="002E0ABB"/>
    <w:rsid w:val="002E581C"/>
    <w:rsid w:val="002F4D22"/>
    <w:rsid w:val="0031337C"/>
    <w:rsid w:val="00333A35"/>
    <w:rsid w:val="0033547E"/>
    <w:rsid w:val="0034182D"/>
    <w:rsid w:val="00343012"/>
    <w:rsid w:val="00344F08"/>
    <w:rsid w:val="003455C7"/>
    <w:rsid w:val="003460DA"/>
    <w:rsid w:val="00355FDD"/>
    <w:rsid w:val="00362A31"/>
    <w:rsid w:val="003663BC"/>
    <w:rsid w:val="00370403"/>
    <w:rsid w:val="00374E3F"/>
    <w:rsid w:val="00380F9E"/>
    <w:rsid w:val="0039416A"/>
    <w:rsid w:val="003A57DB"/>
    <w:rsid w:val="003A62FD"/>
    <w:rsid w:val="003B24CC"/>
    <w:rsid w:val="003B35C2"/>
    <w:rsid w:val="003C4CD2"/>
    <w:rsid w:val="003C7E76"/>
    <w:rsid w:val="003D18AA"/>
    <w:rsid w:val="003D3B3D"/>
    <w:rsid w:val="003D3F3E"/>
    <w:rsid w:val="003D5120"/>
    <w:rsid w:val="003D6214"/>
    <w:rsid w:val="003E205E"/>
    <w:rsid w:val="003E725B"/>
    <w:rsid w:val="003F2B83"/>
    <w:rsid w:val="003F3D0F"/>
    <w:rsid w:val="003F4F0F"/>
    <w:rsid w:val="003F7B89"/>
    <w:rsid w:val="0040110D"/>
    <w:rsid w:val="00401393"/>
    <w:rsid w:val="004101E3"/>
    <w:rsid w:val="0041064C"/>
    <w:rsid w:val="004177AB"/>
    <w:rsid w:val="00421EF2"/>
    <w:rsid w:val="004237E0"/>
    <w:rsid w:val="004348EB"/>
    <w:rsid w:val="00434F27"/>
    <w:rsid w:val="00443350"/>
    <w:rsid w:val="00443986"/>
    <w:rsid w:val="00445C15"/>
    <w:rsid w:val="004507EB"/>
    <w:rsid w:val="004561F7"/>
    <w:rsid w:val="004611B3"/>
    <w:rsid w:val="00462F17"/>
    <w:rsid w:val="00476C26"/>
    <w:rsid w:val="0048043F"/>
    <w:rsid w:val="004833BF"/>
    <w:rsid w:val="004923D9"/>
    <w:rsid w:val="00493F6E"/>
    <w:rsid w:val="004953FF"/>
    <w:rsid w:val="004971C0"/>
    <w:rsid w:val="004A4DAE"/>
    <w:rsid w:val="004A50B5"/>
    <w:rsid w:val="004B0104"/>
    <w:rsid w:val="004B6B33"/>
    <w:rsid w:val="004B6FB7"/>
    <w:rsid w:val="004C17C1"/>
    <w:rsid w:val="004C706F"/>
    <w:rsid w:val="004D5ABE"/>
    <w:rsid w:val="004E109C"/>
    <w:rsid w:val="004F20FF"/>
    <w:rsid w:val="004F606E"/>
    <w:rsid w:val="0050068E"/>
    <w:rsid w:val="00503110"/>
    <w:rsid w:val="00503FEF"/>
    <w:rsid w:val="00507454"/>
    <w:rsid w:val="005205BF"/>
    <w:rsid w:val="005406AE"/>
    <w:rsid w:val="00547ABD"/>
    <w:rsid w:val="0055078B"/>
    <w:rsid w:val="0056061E"/>
    <w:rsid w:val="00561B4A"/>
    <w:rsid w:val="00566B6A"/>
    <w:rsid w:val="00591A9E"/>
    <w:rsid w:val="005B21F9"/>
    <w:rsid w:val="005B6CD1"/>
    <w:rsid w:val="005C2641"/>
    <w:rsid w:val="005C4687"/>
    <w:rsid w:val="005C5D1A"/>
    <w:rsid w:val="005C789A"/>
    <w:rsid w:val="005F28CF"/>
    <w:rsid w:val="005F58BA"/>
    <w:rsid w:val="0060201E"/>
    <w:rsid w:val="0061690F"/>
    <w:rsid w:val="0061712B"/>
    <w:rsid w:val="00622796"/>
    <w:rsid w:val="00631B41"/>
    <w:rsid w:val="00640B29"/>
    <w:rsid w:val="00641E55"/>
    <w:rsid w:val="00650A62"/>
    <w:rsid w:val="00657C1B"/>
    <w:rsid w:val="00660229"/>
    <w:rsid w:val="006623E2"/>
    <w:rsid w:val="00681A58"/>
    <w:rsid w:val="0069780D"/>
    <w:rsid w:val="00697A35"/>
    <w:rsid w:val="006B0EB6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700C4E"/>
    <w:rsid w:val="007108D1"/>
    <w:rsid w:val="00715C7F"/>
    <w:rsid w:val="007242F5"/>
    <w:rsid w:val="0073067E"/>
    <w:rsid w:val="00753A1F"/>
    <w:rsid w:val="007547E3"/>
    <w:rsid w:val="00787804"/>
    <w:rsid w:val="0079115A"/>
    <w:rsid w:val="00794BCA"/>
    <w:rsid w:val="00794FCA"/>
    <w:rsid w:val="007A37D0"/>
    <w:rsid w:val="007A5F1A"/>
    <w:rsid w:val="007A7F16"/>
    <w:rsid w:val="007B610F"/>
    <w:rsid w:val="007C042E"/>
    <w:rsid w:val="007E1D32"/>
    <w:rsid w:val="007F18C7"/>
    <w:rsid w:val="007F6430"/>
    <w:rsid w:val="00802A9C"/>
    <w:rsid w:val="008046F4"/>
    <w:rsid w:val="00813CD8"/>
    <w:rsid w:val="00814273"/>
    <w:rsid w:val="00816009"/>
    <w:rsid w:val="00817C61"/>
    <w:rsid w:val="00817E44"/>
    <w:rsid w:val="00824761"/>
    <w:rsid w:val="00830211"/>
    <w:rsid w:val="00840CD2"/>
    <w:rsid w:val="00845205"/>
    <w:rsid w:val="00855231"/>
    <w:rsid w:val="008556D3"/>
    <w:rsid w:val="00874B2A"/>
    <w:rsid w:val="00875898"/>
    <w:rsid w:val="00880344"/>
    <w:rsid w:val="00882C4E"/>
    <w:rsid w:val="00890302"/>
    <w:rsid w:val="008A6EC9"/>
    <w:rsid w:val="008B0974"/>
    <w:rsid w:val="008C5410"/>
    <w:rsid w:val="008E7239"/>
    <w:rsid w:val="008F1CF4"/>
    <w:rsid w:val="008F3D15"/>
    <w:rsid w:val="008F4AEC"/>
    <w:rsid w:val="00912346"/>
    <w:rsid w:val="00914419"/>
    <w:rsid w:val="00935B74"/>
    <w:rsid w:val="00940074"/>
    <w:rsid w:val="0096091A"/>
    <w:rsid w:val="00964F98"/>
    <w:rsid w:val="00980F60"/>
    <w:rsid w:val="009853EC"/>
    <w:rsid w:val="00995B14"/>
    <w:rsid w:val="00996736"/>
    <w:rsid w:val="009A2ACC"/>
    <w:rsid w:val="009A7F70"/>
    <w:rsid w:val="009B6788"/>
    <w:rsid w:val="009C4E62"/>
    <w:rsid w:val="009C74B3"/>
    <w:rsid w:val="009D0DAB"/>
    <w:rsid w:val="009D20FE"/>
    <w:rsid w:val="009F504B"/>
    <w:rsid w:val="00A0030E"/>
    <w:rsid w:val="00A354A6"/>
    <w:rsid w:val="00A46AA0"/>
    <w:rsid w:val="00A578C1"/>
    <w:rsid w:val="00A60217"/>
    <w:rsid w:val="00A60AB4"/>
    <w:rsid w:val="00A637B7"/>
    <w:rsid w:val="00A64CD9"/>
    <w:rsid w:val="00A722F7"/>
    <w:rsid w:val="00A75F82"/>
    <w:rsid w:val="00A85B79"/>
    <w:rsid w:val="00A8715B"/>
    <w:rsid w:val="00A94F11"/>
    <w:rsid w:val="00AA76C8"/>
    <w:rsid w:val="00AB0359"/>
    <w:rsid w:val="00AB6DD8"/>
    <w:rsid w:val="00AE0A84"/>
    <w:rsid w:val="00AF62B0"/>
    <w:rsid w:val="00B1438A"/>
    <w:rsid w:val="00B15B44"/>
    <w:rsid w:val="00B165F7"/>
    <w:rsid w:val="00B3415A"/>
    <w:rsid w:val="00B35048"/>
    <w:rsid w:val="00B403E2"/>
    <w:rsid w:val="00B445A3"/>
    <w:rsid w:val="00B44B1A"/>
    <w:rsid w:val="00B461FF"/>
    <w:rsid w:val="00B51BE8"/>
    <w:rsid w:val="00B54865"/>
    <w:rsid w:val="00B751B6"/>
    <w:rsid w:val="00B80052"/>
    <w:rsid w:val="00B81126"/>
    <w:rsid w:val="00B844FA"/>
    <w:rsid w:val="00B86B9F"/>
    <w:rsid w:val="00B87A19"/>
    <w:rsid w:val="00B91E6E"/>
    <w:rsid w:val="00B936F7"/>
    <w:rsid w:val="00B97AF4"/>
    <w:rsid w:val="00BB45F8"/>
    <w:rsid w:val="00BB4F1D"/>
    <w:rsid w:val="00BB7B32"/>
    <w:rsid w:val="00BC45E3"/>
    <w:rsid w:val="00BC6AE7"/>
    <w:rsid w:val="00BD16F3"/>
    <w:rsid w:val="00BE1E60"/>
    <w:rsid w:val="00BE45A1"/>
    <w:rsid w:val="00BF7365"/>
    <w:rsid w:val="00C03D45"/>
    <w:rsid w:val="00C043C2"/>
    <w:rsid w:val="00C07CE5"/>
    <w:rsid w:val="00C10784"/>
    <w:rsid w:val="00C23077"/>
    <w:rsid w:val="00C26610"/>
    <w:rsid w:val="00C3003F"/>
    <w:rsid w:val="00C30463"/>
    <w:rsid w:val="00C31E2F"/>
    <w:rsid w:val="00C35892"/>
    <w:rsid w:val="00C362E6"/>
    <w:rsid w:val="00C44DE8"/>
    <w:rsid w:val="00C47068"/>
    <w:rsid w:val="00C475E1"/>
    <w:rsid w:val="00C512F1"/>
    <w:rsid w:val="00C53322"/>
    <w:rsid w:val="00C548A4"/>
    <w:rsid w:val="00C5530A"/>
    <w:rsid w:val="00C570AC"/>
    <w:rsid w:val="00C57FBD"/>
    <w:rsid w:val="00C641AE"/>
    <w:rsid w:val="00C66880"/>
    <w:rsid w:val="00C66E45"/>
    <w:rsid w:val="00C912DF"/>
    <w:rsid w:val="00C92C6B"/>
    <w:rsid w:val="00C931D8"/>
    <w:rsid w:val="00C9441A"/>
    <w:rsid w:val="00CA02F3"/>
    <w:rsid w:val="00CA1259"/>
    <w:rsid w:val="00CA1E54"/>
    <w:rsid w:val="00CA64B5"/>
    <w:rsid w:val="00CB296E"/>
    <w:rsid w:val="00CB4D14"/>
    <w:rsid w:val="00CC127F"/>
    <w:rsid w:val="00CD30F4"/>
    <w:rsid w:val="00CE11AD"/>
    <w:rsid w:val="00CE64D9"/>
    <w:rsid w:val="00D05F10"/>
    <w:rsid w:val="00D1310D"/>
    <w:rsid w:val="00D31722"/>
    <w:rsid w:val="00D35A7C"/>
    <w:rsid w:val="00D36370"/>
    <w:rsid w:val="00D44E8C"/>
    <w:rsid w:val="00D51E92"/>
    <w:rsid w:val="00D70516"/>
    <w:rsid w:val="00D71DE4"/>
    <w:rsid w:val="00D7594E"/>
    <w:rsid w:val="00D831A8"/>
    <w:rsid w:val="00D861EE"/>
    <w:rsid w:val="00D92DE7"/>
    <w:rsid w:val="00DA3236"/>
    <w:rsid w:val="00DA4B2E"/>
    <w:rsid w:val="00DB4BC4"/>
    <w:rsid w:val="00DC0338"/>
    <w:rsid w:val="00DC2899"/>
    <w:rsid w:val="00DD07AF"/>
    <w:rsid w:val="00DD53F6"/>
    <w:rsid w:val="00DD618B"/>
    <w:rsid w:val="00DF5D5B"/>
    <w:rsid w:val="00E03979"/>
    <w:rsid w:val="00E044D4"/>
    <w:rsid w:val="00E2342E"/>
    <w:rsid w:val="00E308C0"/>
    <w:rsid w:val="00E31049"/>
    <w:rsid w:val="00E60BF7"/>
    <w:rsid w:val="00E6537D"/>
    <w:rsid w:val="00E66A32"/>
    <w:rsid w:val="00E70469"/>
    <w:rsid w:val="00E72658"/>
    <w:rsid w:val="00E77E91"/>
    <w:rsid w:val="00E86FED"/>
    <w:rsid w:val="00E91345"/>
    <w:rsid w:val="00E96453"/>
    <w:rsid w:val="00EB5EAD"/>
    <w:rsid w:val="00EB7717"/>
    <w:rsid w:val="00EC38E7"/>
    <w:rsid w:val="00ED1EF9"/>
    <w:rsid w:val="00ED2630"/>
    <w:rsid w:val="00ED4E3E"/>
    <w:rsid w:val="00ED747D"/>
    <w:rsid w:val="00EE7DA1"/>
    <w:rsid w:val="00EF425E"/>
    <w:rsid w:val="00EF49F6"/>
    <w:rsid w:val="00F00C81"/>
    <w:rsid w:val="00F10B7C"/>
    <w:rsid w:val="00F13724"/>
    <w:rsid w:val="00F1560C"/>
    <w:rsid w:val="00F173E6"/>
    <w:rsid w:val="00F22E94"/>
    <w:rsid w:val="00F24082"/>
    <w:rsid w:val="00F41574"/>
    <w:rsid w:val="00F42055"/>
    <w:rsid w:val="00F4500C"/>
    <w:rsid w:val="00F50186"/>
    <w:rsid w:val="00F51004"/>
    <w:rsid w:val="00F53B66"/>
    <w:rsid w:val="00F5683F"/>
    <w:rsid w:val="00F65297"/>
    <w:rsid w:val="00F6541D"/>
    <w:rsid w:val="00F73DD2"/>
    <w:rsid w:val="00F8376F"/>
    <w:rsid w:val="00FA7547"/>
    <w:rsid w:val="00FB7E8A"/>
    <w:rsid w:val="00FD5451"/>
    <w:rsid w:val="00FE767B"/>
    <w:rsid w:val="00FF0741"/>
    <w:rsid w:val="00FF224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01F6E3-2DA5-40D0-AE98-6FD8F3E4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F4AEC"/>
    <w:pPr>
      <w:spacing w:after="120" w:line="264" w:lineRule="auto"/>
    </w:pPr>
    <w:rPr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8F4AEC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AEC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4AEC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4AEC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4AEC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4AEC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4AEC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4AEC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4AEC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2F17"/>
    <w:rPr>
      <w:color w:val="0000FF"/>
      <w:u w:val="single"/>
    </w:rPr>
  </w:style>
  <w:style w:type="character" w:styleId="Siln">
    <w:name w:val="Strong"/>
    <w:uiPriority w:val="22"/>
    <w:qFormat/>
    <w:rsid w:val="008F4AEC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445A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B5EAD"/>
    <w:pPr>
      <w:autoSpaceDE w:val="0"/>
      <w:autoSpaceDN w:val="0"/>
      <w:adjustRightInd w:val="0"/>
      <w:spacing w:after="120" w:line="264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rsid w:val="003F2B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F2B83"/>
    <w:rPr>
      <w:rFonts w:ascii="Segoe UI" w:hAnsi="Segoe UI" w:cs="Segoe UI"/>
      <w:sz w:val="18"/>
      <w:szCs w:val="18"/>
      <w:lang w:val="en-US"/>
    </w:rPr>
  </w:style>
  <w:style w:type="paragraph" w:styleId="Odstavecseseznamem">
    <w:name w:val="List Paragraph"/>
    <w:basedOn w:val="Normln"/>
    <w:uiPriority w:val="34"/>
    <w:qFormat/>
    <w:rsid w:val="0061690F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8F4AEC"/>
    <w:rPr>
      <w:rFonts w:ascii="Calibri Light" w:eastAsia="SimSun" w:hAnsi="Calibri Light" w:cs="Times New Roman"/>
      <w:color w:val="2E74B5"/>
      <w:sz w:val="36"/>
      <w:szCs w:val="36"/>
    </w:rPr>
  </w:style>
  <w:style w:type="paragraph" w:styleId="Nadpisobsahu">
    <w:name w:val="TOC Heading"/>
    <w:basedOn w:val="Nadpis1"/>
    <w:next w:val="Normln"/>
    <w:uiPriority w:val="39"/>
    <w:unhideWhenUsed/>
    <w:qFormat/>
    <w:rsid w:val="008F4AEC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8F4AEC"/>
    <w:pPr>
      <w:spacing w:after="100" w:line="259" w:lineRule="auto"/>
      <w:ind w:left="220"/>
    </w:pPr>
    <w:rPr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8F4AEC"/>
    <w:pPr>
      <w:spacing w:after="100" w:line="259" w:lineRule="auto"/>
    </w:pPr>
    <w:rPr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8F4AEC"/>
    <w:pPr>
      <w:spacing w:after="100" w:line="259" w:lineRule="auto"/>
      <w:ind w:left="440"/>
    </w:pPr>
    <w:rPr>
      <w:sz w:val="22"/>
      <w:szCs w:val="22"/>
    </w:rPr>
  </w:style>
  <w:style w:type="character" w:customStyle="1" w:styleId="Nadpis2Char">
    <w:name w:val="Nadpis 2 Char"/>
    <w:link w:val="Nadpis2"/>
    <w:uiPriority w:val="9"/>
    <w:rsid w:val="008F4AE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8F4AEC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8F4AEC"/>
    <w:rPr>
      <w:rFonts w:ascii="Calibri Light" w:eastAsia="SimSun" w:hAnsi="Calibri Light" w:cs="Times New Roman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8F4AEC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8F4AEC"/>
    <w:rPr>
      <w:rFonts w:ascii="Calibri Light" w:eastAsia="SimSun" w:hAnsi="Calibri Light" w:cs="Times New Roman"/>
      <w:color w:val="595959"/>
    </w:rPr>
  </w:style>
  <w:style w:type="character" w:customStyle="1" w:styleId="Nadpis7Char">
    <w:name w:val="Nadpis 7 Char"/>
    <w:link w:val="Nadpis7"/>
    <w:uiPriority w:val="9"/>
    <w:semiHidden/>
    <w:rsid w:val="008F4AEC"/>
    <w:rPr>
      <w:rFonts w:ascii="Calibri Light" w:eastAsia="SimSun" w:hAnsi="Calibri Light" w:cs="Times New Roman"/>
      <w:i/>
      <w:iCs/>
      <w:color w:val="595959"/>
    </w:rPr>
  </w:style>
  <w:style w:type="character" w:customStyle="1" w:styleId="Nadpis8Char">
    <w:name w:val="Nadpis 8 Char"/>
    <w:link w:val="Nadpis8"/>
    <w:uiPriority w:val="9"/>
    <w:semiHidden/>
    <w:rsid w:val="008F4AEC"/>
    <w:rPr>
      <w:rFonts w:ascii="Calibri Light" w:eastAsia="SimSun" w:hAnsi="Calibri Light" w:cs="Times New Roman"/>
      <w:smallCaps/>
      <w:color w:val="595959"/>
    </w:rPr>
  </w:style>
  <w:style w:type="character" w:customStyle="1" w:styleId="Nadpis9Char">
    <w:name w:val="Nadpis 9 Char"/>
    <w:link w:val="Nadpis9"/>
    <w:uiPriority w:val="9"/>
    <w:semiHidden/>
    <w:rsid w:val="008F4AEC"/>
    <w:rPr>
      <w:rFonts w:ascii="Calibri Light" w:eastAsia="SimSun" w:hAnsi="Calibri Light" w:cs="Times New Roman"/>
      <w:i/>
      <w:iCs/>
      <w:smallCaps/>
      <w:color w:val="595959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F4AEC"/>
    <w:pPr>
      <w:spacing w:line="240" w:lineRule="auto"/>
    </w:pPr>
    <w:rPr>
      <w:b/>
      <w:bCs/>
      <w:color w:val="404040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F4AEC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NzevChar">
    <w:name w:val="Název Char"/>
    <w:link w:val="Nzev"/>
    <w:uiPriority w:val="10"/>
    <w:rsid w:val="008F4AEC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AEC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PodnadpisChar">
    <w:name w:val="Podnadpis Char"/>
    <w:link w:val="Podnadpis"/>
    <w:uiPriority w:val="11"/>
    <w:rsid w:val="008F4AEC"/>
    <w:rPr>
      <w:rFonts w:ascii="Calibri Light" w:eastAsia="SimSun" w:hAnsi="Calibri Light" w:cs="Times New Roman"/>
      <w:color w:val="404040"/>
      <w:sz w:val="30"/>
      <w:szCs w:val="30"/>
    </w:rPr>
  </w:style>
  <w:style w:type="character" w:styleId="Zdraznn">
    <w:name w:val="Emphasis"/>
    <w:uiPriority w:val="20"/>
    <w:qFormat/>
    <w:rsid w:val="008F4AEC"/>
    <w:rPr>
      <w:i/>
      <w:iCs/>
    </w:rPr>
  </w:style>
  <w:style w:type="paragraph" w:styleId="Bezmezer">
    <w:name w:val="No Spacing"/>
    <w:uiPriority w:val="1"/>
    <w:qFormat/>
    <w:rsid w:val="008F4AEC"/>
    <w:rPr>
      <w:sz w:val="21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8F4AE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8F4AEC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4AEC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8F4AEC"/>
    <w:rPr>
      <w:rFonts w:ascii="Calibri Light" w:eastAsia="SimSun" w:hAnsi="Calibri Light" w:cs="Times New Roman"/>
      <w:color w:val="5B9BD5"/>
      <w:sz w:val="28"/>
      <w:szCs w:val="28"/>
    </w:rPr>
  </w:style>
  <w:style w:type="character" w:styleId="Zdraznnjemn">
    <w:name w:val="Subtle Emphasis"/>
    <w:uiPriority w:val="19"/>
    <w:qFormat/>
    <w:rsid w:val="008F4AEC"/>
    <w:rPr>
      <w:i/>
      <w:iCs/>
      <w:color w:val="595959"/>
    </w:rPr>
  </w:style>
  <w:style w:type="character" w:styleId="Zdraznnintenzivn">
    <w:name w:val="Intense Emphasis"/>
    <w:uiPriority w:val="21"/>
    <w:qFormat/>
    <w:rsid w:val="008F4AEC"/>
    <w:rPr>
      <w:b/>
      <w:bCs/>
      <w:i/>
      <w:iCs/>
    </w:rPr>
  </w:style>
  <w:style w:type="character" w:styleId="Odkazjemn">
    <w:name w:val="Subtle Reference"/>
    <w:uiPriority w:val="31"/>
    <w:qFormat/>
    <w:rsid w:val="008F4AEC"/>
    <w:rPr>
      <w:smallCaps/>
      <w:color w:val="404040"/>
    </w:rPr>
  </w:style>
  <w:style w:type="character" w:styleId="Odkazintenzivn">
    <w:name w:val="Intense Reference"/>
    <w:uiPriority w:val="32"/>
    <w:qFormat/>
    <w:rsid w:val="008F4AEC"/>
    <w:rPr>
      <w:b/>
      <w:bCs/>
      <w:smallCaps/>
      <w:u w:val="single"/>
    </w:rPr>
  </w:style>
  <w:style w:type="character" w:styleId="Nzevknihy">
    <w:name w:val="Book Title"/>
    <w:uiPriority w:val="33"/>
    <w:qFormat/>
    <w:rsid w:val="008F4AEC"/>
    <w:rPr>
      <w:b/>
      <w:bCs/>
      <w:smallCaps/>
    </w:rPr>
  </w:style>
  <w:style w:type="character" w:customStyle="1" w:styleId="ZpatChar">
    <w:name w:val="Zápatí Char"/>
    <w:basedOn w:val="Standardnpsmoodstavce"/>
    <w:link w:val="Zpat"/>
    <w:uiPriority w:val="99"/>
    <w:rsid w:val="00FD5451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9CB7-07C9-4742-BD8C-62E3F5F9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1260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ochraně obchodního tajemství</vt:lpstr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ochraně obchodního tajemství</dc:title>
  <dc:subject/>
  <dc:creator>Kvasnička Tomáš Mgr. MBA</dc:creator>
  <cp:keywords/>
  <dc:description/>
  <cp:lastModifiedBy>Linhart Jiří Mgr.</cp:lastModifiedBy>
  <cp:revision>6</cp:revision>
  <dcterms:created xsi:type="dcterms:W3CDTF">2019-12-15T20:12:00Z</dcterms:created>
  <dcterms:modified xsi:type="dcterms:W3CDTF">2019-12-17T11:28:00Z</dcterms:modified>
</cp:coreProperties>
</file>