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AB2E1" w14:textId="4C8C20EB" w:rsidR="007E2ACA" w:rsidRPr="00D22838" w:rsidRDefault="007E2ACA">
      <w:pPr>
        <w:rPr>
          <w:rFonts w:ascii="Arial" w:hAnsi="Arial" w:cs="Arial"/>
          <w:sz w:val="22"/>
          <w:szCs w:val="22"/>
        </w:rPr>
      </w:pPr>
    </w:p>
    <w:p w14:paraId="36D7C5F7" w14:textId="77777777" w:rsidR="00EC2FAF" w:rsidRPr="00D22838" w:rsidRDefault="00EC2FAF">
      <w:pPr>
        <w:rPr>
          <w:rFonts w:ascii="Arial" w:hAnsi="Arial" w:cs="Arial"/>
          <w:sz w:val="22"/>
          <w:szCs w:val="22"/>
        </w:rPr>
      </w:pPr>
    </w:p>
    <w:p w14:paraId="6321FB40" w14:textId="2F2A72F4" w:rsidR="00FB0FE0" w:rsidRPr="00D22838" w:rsidRDefault="0017698A" w:rsidP="00FB0FE0">
      <w:pPr>
        <w:rPr>
          <w:rFonts w:ascii="Arial" w:hAnsi="Arial" w:cs="Arial"/>
          <w:sz w:val="22"/>
          <w:szCs w:val="22"/>
        </w:rPr>
      </w:pPr>
      <w:r w:rsidRPr="00D22838">
        <w:rPr>
          <w:rFonts w:ascii="Arial" w:hAnsi="Arial" w:cs="Arial"/>
          <w:sz w:val="22"/>
          <w:szCs w:val="22"/>
        </w:rPr>
        <w:t xml:space="preserve">Příloha č. </w:t>
      </w:r>
      <w:r w:rsidR="001F63B0">
        <w:rPr>
          <w:rFonts w:ascii="Arial" w:hAnsi="Arial" w:cs="Arial"/>
          <w:sz w:val="22"/>
          <w:szCs w:val="22"/>
        </w:rPr>
        <w:t>3</w:t>
      </w:r>
      <w:r w:rsidR="00B35B71" w:rsidRPr="00D22838">
        <w:rPr>
          <w:rFonts w:ascii="Arial" w:hAnsi="Arial" w:cs="Arial"/>
          <w:sz w:val="22"/>
          <w:szCs w:val="22"/>
        </w:rPr>
        <w:t xml:space="preserve"> k</w:t>
      </w:r>
      <w:r w:rsidR="00B1073C" w:rsidRPr="00D22838">
        <w:rPr>
          <w:rFonts w:ascii="Arial" w:hAnsi="Arial" w:cs="Arial"/>
          <w:sz w:val="22"/>
          <w:szCs w:val="22"/>
        </w:rPr>
        <w:t xml:space="preserve"> č.j.: </w:t>
      </w:r>
      <w:r w:rsidR="001B20AB" w:rsidRPr="001B20AB">
        <w:rPr>
          <w:rFonts w:ascii="Arial" w:hAnsi="Arial" w:cs="Arial"/>
          <w:sz w:val="22"/>
          <w:szCs w:val="22"/>
        </w:rPr>
        <w:t>1/120/2574400–2019</w:t>
      </w:r>
    </w:p>
    <w:p w14:paraId="6B7A8F17" w14:textId="735E80AD" w:rsidR="007E2ACA" w:rsidRPr="00D22838" w:rsidRDefault="007E2ACA">
      <w:pPr>
        <w:rPr>
          <w:rFonts w:ascii="Arial" w:hAnsi="Arial" w:cs="Arial"/>
          <w:sz w:val="22"/>
          <w:szCs w:val="22"/>
        </w:rPr>
      </w:pPr>
    </w:p>
    <w:p w14:paraId="57D058D2" w14:textId="77777777" w:rsidR="00DA6C1F" w:rsidRPr="00D22838" w:rsidRDefault="00DA6C1F">
      <w:pPr>
        <w:rPr>
          <w:rFonts w:ascii="Arial" w:hAnsi="Arial" w:cs="Arial"/>
          <w:sz w:val="22"/>
          <w:szCs w:val="22"/>
        </w:rPr>
      </w:pPr>
    </w:p>
    <w:p w14:paraId="6EEC46AE" w14:textId="77777777" w:rsidR="00DA6C1F" w:rsidRPr="00D22838" w:rsidRDefault="00DA6C1F">
      <w:pPr>
        <w:rPr>
          <w:rFonts w:ascii="Arial" w:hAnsi="Arial" w:cs="Arial"/>
          <w:sz w:val="22"/>
          <w:szCs w:val="22"/>
        </w:rPr>
      </w:pPr>
    </w:p>
    <w:p w14:paraId="79606B9B" w14:textId="77777777" w:rsidR="00E616C7" w:rsidRPr="00D22838" w:rsidRDefault="00E616C7" w:rsidP="00E616C7">
      <w:pPr>
        <w:rPr>
          <w:rFonts w:ascii="Arial" w:hAnsi="Arial" w:cs="Arial"/>
          <w:sz w:val="22"/>
          <w:szCs w:val="22"/>
        </w:rPr>
      </w:pPr>
    </w:p>
    <w:p w14:paraId="030D16D1" w14:textId="215AA74C" w:rsidR="00257678" w:rsidRPr="00D22838" w:rsidRDefault="00257678" w:rsidP="00257678">
      <w:pPr>
        <w:keepNext/>
        <w:tabs>
          <w:tab w:val="left" w:pos="284"/>
        </w:tabs>
        <w:rPr>
          <w:rFonts w:ascii="Arial" w:hAnsi="Arial" w:cs="Arial"/>
          <w:sz w:val="22"/>
          <w:szCs w:val="22"/>
        </w:rPr>
      </w:pPr>
      <w:r w:rsidRPr="00D22838">
        <w:rPr>
          <w:rFonts w:ascii="Arial" w:hAnsi="Arial" w:cs="Arial"/>
          <w:b/>
          <w:sz w:val="22"/>
          <w:szCs w:val="22"/>
        </w:rPr>
        <w:t>Vojenská zdravotní pojišťovna České republiky</w:t>
      </w:r>
    </w:p>
    <w:p w14:paraId="28310CFE" w14:textId="77777777" w:rsidR="00257678" w:rsidRPr="00D22838" w:rsidRDefault="00257678" w:rsidP="00257678">
      <w:pPr>
        <w:keepNext/>
        <w:tabs>
          <w:tab w:val="left" w:pos="284"/>
        </w:tabs>
        <w:rPr>
          <w:rFonts w:ascii="Arial" w:hAnsi="Arial" w:cs="Arial"/>
          <w:sz w:val="22"/>
          <w:szCs w:val="22"/>
        </w:rPr>
      </w:pPr>
      <w:r w:rsidRPr="00D22838">
        <w:rPr>
          <w:rFonts w:ascii="Arial" w:hAnsi="Arial" w:cs="Arial"/>
          <w:sz w:val="22"/>
          <w:szCs w:val="22"/>
        </w:rPr>
        <w:t xml:space="preserve">se sídlem: </w:t>
      </w:r>
      <w:r w:rsidRPr="00D22838">
        <w:rPr>
          <w:rFonts w:ascii="Arial" w:hAnsi="Arial" w:cs="Arial"/>
          <w:sz w:val="22"/>
          <w:szCs w:val="22"/>
        </w:rPr>
        <w:tab/>
      </w:r>
      <w:r w:rsidRPr="00D22838">
        <w:rPr>
          <w:rFonts w:ascii="Arial" w:hAnsi="Arial" w:cs="Arial"/>
          <w:sz w:val="22"/>
          <w:szCs w:val="22"/>
        </w:rPr>
        <w:tab/>
      </w:r>
      <w:r w:rsidRPr="00D22838">
        <w:rPr>
          <w:rFonts w:ascii="Arial" w:hAnsi="Arial" w:cs="Arial"/>
          <w:sz w:val="22"/>
          <w:szCs w:val="22"/>
        </w:rPr>
        <w:tab/>
        <w:t>Praha 9, Drahobejlova 1404/4, PSČ: 190 03</w:t>
      </w:r>
      <w:r w:rsidRPr="00D22838">
        <w:rPr>
          <w:rFonts w:ascii="Arial" w:hAnsi="Arial" w:cs="Arial"/>
          <w:sz w:val="22"/>
          <w:szCs w:val="22"/>
        </w:rPr>
        <w:tab/>
      </w:r>
    </w:p>
    <w:p w14:paraId="7CCC4789" w14:textId="28525F84" w:rsidR="00257678" w:rsidRPr="00D22838" w:rsidRDefault="0017698A" w:rsidP="00A228B3">
      <w:pPr>
        <w:rPr>
          <w:rFonts w:ascii="Arial" w:hAnsi="Arial" w:cs="Arial"/>
          <w:sz w:val="22"/>
          <w:szCs w:val="22"/>
        </w:rPr>
      </w:pPr>
      <w:r w:rsidRPr="00D22838">
        <w:rPr>
          <w:rFonts w:ascii="Arial" w:hAnsi="Arial" w:cs="Arial"/>
          <w:sz w:val="22"/>
          <w:szCs w:val="22"/>
        </w:rPr>
        <w:t xml:space="preserve">jejímž jménem jedná: </w:t>
      </w:r>
      <w:r w:rsidRPr="00D22838">
        <w:rPr>
          <w:rFonts w:ascii="Arial" w:hAnsi="Arial" w:cs="Arial"/>
          <w:sz w:val="22"/>
          <w:szCs w:val="22"/>
        </w:rPr>
        <w:tab/>
      </w:r>
      <w:r w:rsidR="00A228B3" w:rsidRPr="00D22838">
        <w:rPr>
          <w:rFonts w:ascii="Arial" w:hAnsi="Arial" w:cs="Arial"/>
          <w:sz w:val="22"/>
          <w:szCs w:val="22"/>
        </w:rPr>
        <w:t>Ing. Josef Diessl, generální ředitel</w:t>
      </w:r>
    </w:p>
    <w:p w14:paraId="43E14CC1" w14:textId="77777777" w:rsidR="00257678" w:rsidRPr="00D22838" w:rsidRDefault="00257678" w:rsidP="00257678">
      <w:pPr>
        <w:keepNext/>
        <w:tabs>
          <w:tab w:val="left" w:pos="284"/>
        </w:tabs>
        <w:rPr>
          <w:rFonts w:ascii="Arial" w:hAnsi="Arial" w:cs="Arial"/>
          <w:sz w:val="22"/>
          <w:szCs w:val="22"/>
        </w:rPr>
      </w:pPr>
      <w:r w:rsidRPr="00D22838">
        <w:rPr>
          <w:rFonts w:ascii="Arial" w:hAnsi="Arial" w:cs="Arial"/>
          <w:sz w:val="22"/>
          <w:szCs w:val="22"/>
        </w:rPr>
        <w:t xml:space="preserve">IČO: </w:t>
      </w:r>
      <w:r w:rsidRPr="00D22838">
        <w:rPr>
          <w:rFonts w:ascii="Arial" w:hAnsi="Arial" w:cs="Arial"/>
          <w:sz w:val="22"/>
          <w:szCs w:val="22"/>
        </w:rPr>
        <w:tab/>
      </w:r>
      <w:r w:rsidRPr="00D22838">
        <w:rPr>
          <w:rFonts w:ascii="Arial" w:hAnsi="Arial" w:cs="Arial"/>
          <w:sz w:val="22"/>
          <w:szCs w:val="22"/>
        </w:rPr>
        <w:tab/>
      </w:r>
      <w:r w:rsidRPr="00D22838">
        <w:rPr>
          <w:rFonts w:ascii="Arial" w:hAnsi="Arial" w:cs="Arial"/>
          <w:sz w:val="22"/>
          <w:szCs w:val="22"/>
        </w:rPr>
        <w:tab/>
      </w:r>
      <w:r w:rsidRPr="00D22838">
        <w:rPr>
          <w:rFonts w:ascii="Arial" w:hAnsi="Arial" w:cs="Arial"/>
          <w:sz w:val="22"/>
          <w:szCs w:val="22"/>
        </w:rPr>
        <w:tab/>
        <w:t>47114975</w:t>
      </w:r>
    </w:p>
    <w:p w14:paraId="354A56DD" w14:textId="77777777" w:rsidR="00257678" w:rsidRPr="00D22838" w:rsidRDefault="00257678" w:rsidP="00257678">
      <w:pPr>
        <w:keepNext/>
        <w:tabs>
          <w:tab w:val="left" w:pos="284"/>
        </w:tabs>
        <w:rPr>
          <w:rFonts w:ascii="Arial" w:hAnsi="Arial" w:cs="Arial"/>
          <w:sz w:val="22"/>
          <w:szCs w:val="22"/>
        </w:rPr>
      </w:pPr>
      <w:r w:rsidRPr="00D22838">
        <w:rPr>
          <w:rFonts w:ascii="Arial" w:hAnsi="Arial" w:cs="Arial"/>
          <w:sz w:val="22"/>
          <w:szCs w:val="22"/>
        </w:rPr>
        <w:t>bankovní spojení:</w:t>
      </w:r>
      <w:r w:rsidRPr="00D22838">
        <w:rPr>
          <w:rFonts w:ascii="Arial" w:hAnsi="Arial" w:cs="Arial"/>
          <w:sz w:val="22"/>
          <w:szCs w:val="22"/>
        </w:rPr>
        <w:tab/>
      </w:r>
      <w:r w:rsidRPr="00D22838">
        <w:rPr>
          <w:rFonts w:ascii="Arial" w:hAnsi="Arial" w:cs="Arial"/>
          <w:sz w:val="22"/>
          <w:szCs w:val="22"/>
        </w:rPr>
        <w:tab/>
        <w:t>ČNB</w:t>
      </w:r>
    </w:p>
    <w:p w14:paraId="7FF33273" w14:textId="77777777" w:rsidR="00257678" w:rsidRPr="00D22838" w:rsidRDefault="00257678" w:rsidP="00257678">
      <w:pPr>
        <w:keepNext/>
        <w:tabs>
          <w:tab w:val="left" w:pos="284"/>
        </w:tabs>
        <w:rPr>
          <w:rFonts w:ascii="Arial" w:hAnsi="Arial" w:cs="Arial"/>
          <w:sz w:val="22"/>
          <w:szCs w:val="22"/>
        </w:rPr>
      </w:pPr>
      <w:r w:rsidRPr="00D22838">
        <w:rPr>
          <w:rFonts w:ascii="Arial" w:hAnsi="Arial" w:cs="Arial"/>
          <w:sz w:val="22"/>
          <w:szCs w:val="22"/>
        </w:rPr>
        <w:t xml:space="preserve">číslo účtu: </w:t>
      </w:r>
      <w:r w:rsidRPr="00D22838">
        <w:rPr>
          <w:rFonts w:ascii="Arial" w:hAnsi="Arial" w:cs="Arial"/>
          <w:sz w:val="22"/>
          <w:szCs w:val="22"/>
        </w:rPr>
        <w:tab/>
      </w:r>
      <w:r w:rsidRPr="00D22838">
        <w:rPr>
          <w:rFonts w:ascii="Arial" w:hAnsi="Arial" w:cs="Arial"/>
          <w:sz w:val="22"/>
          <w:szCs w:val="22"/>
        </w:rPr>
        <w:tab/>
      </w:r>
      <w:r w:rsidRPr="00D22838">
        <w:rPr>
          <w:rFonts w:ascii="Arial" w:hAnsi="Arial" w:cs="Arial"/>
          <w:sz w:val="22"/>
          <w:szCs w:val="22"/>
        </w:rPr>
        <w:tab/>
        <w:t>2011300091/0710</w:t>
      </w:r>
    </w:p>
    <w:p w14:paraId="2FE361A3" w14:textId="77777777" w:rsidR="00257678" w:rsidRPr="00D22838" w:rsidRDefault="00257678" w:rsidP="00257678">
      <w:pPr>
        <w:keepNext/>
        <w:tabs>
          <w:tab w:val="left" w:pos="284"/>
        </w:tabs>
        <w:rPr>
          <w:rFonts w:ascii="Arial" w:hAnsi="Arial" w:cs="Arial"/>
          <w:sz w:val="22"/>
          <w:szCs w:val="22"/>
        </w:rPr>
      </w:pPr>
      <w:r w:rsidRPr="00D22838">
        <w:rPr>
          <w:rFonts w:ascii="Arial" w:hAnsi="Arial" w:cs="Arial"/>
          <w:sz w:val="22"/>
          <w:szCs w:val="22"/>
        </w:rPr>
        <w:t xml:space="preserve">zapsaná v obchodním rejstříku vedeném Městským soudem v Praze, v oddíle A, vložce 7564 </w:t>
      </w:r>
    </w:p>
    <w:p w14:paraId="4125676E" w14:textId="77777777" w:rsidR="00E616C7" w:rsidRPr="00D22838" w:rsidRDefault="00E616C7" w:rsidP="00E616C7">
      <w:pPr>
        <w:widowControl w:val="0"/>
        <w:autoSpaceDE w:val="0"/>
        <w:autoSpaceDN w:val="0"/>
        <w:adjustRightInd w:val="0"/>
        <w:jc w:val="both"/>
        <w:rPr>
          <w:rFonts w:ascii="Arial" w:hAnsi="Arial" w:cs="Arial"/>
          <w:b/>
          <w:sz w:val="22"/>
          <w:szCs w:val="22"/>
        </w:rPr>
      </w:pPr>
    </w:p>
    <w:p w14:paraId="52FDD029" w14:textId="2D304793" w:rsidR="00E616C7" w:rsidRPr="00D22838" w:rsidRDefault="00E616C7" w:rsidP="00E616C7">
      <w:pPr>
        <w:widowControl w:val="0"/>
        <w:autoSpaceDE w:val="0"/>
        <w:autoSpaceDN w:val="0"/>
        <w:adjustRightInd w:val="0"/>
        <w:jc w:val="both"/>
        <w:rPr>
          <w:rFonts w:ascii="Arial" w:hAnsi="Arial" w:cs="Arial"/>
          <w:sz w:val="22"/>
          <w:szCs w:val="22"/>
        </w:rPr>
      </w:pPr>
      <w:r w:rsidRPr="00D22838">
        <w:rPr>
          <w:rFonts w:ascii="Arial" w:hAnsi="Arial" w:cs="Arial"/>
          <w:sz w:val="22"/>
          <w:szCs w:val="22"/>
        </w:rPr>
        <w:t>(dále jen</w:t>
      </w:r>
      <w:r w:rsidRPr="00D22838">
        <w:rPr>
          <w:rFonts w:ascii="Arial" w:hAnsi="Arial" w:cs="Arial"/>
          <w:b/>
          <w:sz w:val="22"/>
          <w:szCs w:val="22"/>
        </w:rPr>
        <w:t xml:space="preserve"> „</w:t>
      </w:r>
      <w:r w:rsidR="005E13DA" w:rsidRPr="00D22838">
        <w:rPr>
          <w:rFonts w:ascii="Arial" w:hAnsi="Arial" w:cs="Arial"/>
          <w:b/>
          <w:sz w:val="22"/>
          <w:szCs w:val="22"/>
        </w:rPr>
        <w:t>O</w:t>
      </w:r>
      <w:r w:rsidRPr="00D22838">
        <w:rPr>
          <w:rFonts w:ascii="Arial" w:hAnsi="Arial" w:cs="Arial"/>
          <w:b/>
          <w:sz w:val="22"/>
          <w:szCs w:val="22"/>
        </w:rPr>
        <w:t>bjednatel</w:t>
      </w:r>
      <w:r w:rsidRPr="00D22838">
        <w:rPr>
          <w:rFonts w:ascii="Arial" w:hAnsi="Arial" w:cs="Arial"/>
          <w:sz w:val="22"/>
          <w:szCs w:val="22"/>
        </w:rPr>
        <w:t>")</w:t>
      </w:r>
    </w:p>
    <w:p w14:paraId="6E278FA1" w14:textId="77777777" w:rsidR="00E616C7" w:rsidRPr="00D22838" w:rsidRDefault="00E616C7" w:rsidP="00E616C7">
      <w:pPr>
        <w:widowControl w:val="0"/>
        <w:autoSpaceDE w:val="0"/>
        <w:autoSpaceDN w:val="0"/>
        <w:adjustRightInd w:val="0"/>
        <w:jc w:val="both"/>
        <w:rPr>
          <w:rFonts w:ascii="Arial" w:hAnsi="Arial" w:cs="Arial"/>
          <w:sz w:val="22"/>
          <w:szCs w:val="22"/>
        </w:rPr>
      </w:pPr>
    </w:p>
    <w:p w14:paraId="7EBE126A" w14:textId="77777777" w:rsidR="00E616C7" w:rsidRPr="00D22838" w:rsidRDefault="00E616C7" w:rsidP="00E616C7">
      <w:pPr>
        <w:widowControl w:val="0"/>
        <w:autoSpaceDE w:val="0"/>
        <w:autoSpaceDN w:val="0"/>
        <w:adjustRightInd w:val="0"/>
        <w:jc w:val="both"/>
        <w:rPr>
          <w:rFonts w:ascii="Arial" w:hAnsi="Arial" w:cs="Arial"/>
          <w:sz w:val="22"/>
          <w:szCs w:val="22"/>
        </w:rPr>
      </w:pPr>
      <w:r w:rsidRPr="00D22838">
        <w:rPr>
          <w:rFonts w:ascii="Arial" w:hAnsi="Arial" w:cs="Arial"/>
          <w:sz w:val="22"/>
          <w:szCs w:val="22"/>
        </w:rPr>
        <w:t>a</w:t>
      </w:r>
    </w:p>
    <w:p w14:paraId="5CD5612B" w14:textId="77777777" w:rsidR="00527F60" w:rsidRPr="00D22838" w:rsidRDefault="00527F60" w:rsidP="00527F60">
      <w:pPr>
        <w:ind w:firstLine="18"/>
        <w:rPr>
          <w:rFonts w:ascii="Arial" w:hAnsi="Arial" w:cs="Arial"/>
          <w:sz w:val="22"/>
          <w:szCs w:val="22"/>
        </w:rPr>
      </w:pPr>
      <w:r w:rsidRPr="00D22838">
        <w:rPr>
          <w:rFonts w:ascii="Arial" w:hAnsi="Arial" w:cs="Arial"/>
          <w:sz w:val="22"/>
          <w:szCs w:val="22"/>
        </w:rPr>
        <w:t>………………..  /náze</w:t>
      </w:r>
      <w:r w:rsidR="0013098B" w:rsidRPr="00D22838">
        <w:rPr>
          <w:rFonts w:ascii="Arial" w:hAnsi="Arial" w:cs="Arial"/>
          <w:sz w:val="22"/>
          <w:szCs w:val="22"/>
        </w:rPr>
        <w:t>v, právní forma -  doplní dodava</w:t>
      </w:r>
      <w:r w:rsidRPr="00D22838">
        <w:rPr>
          <w:rFonts w:ascii="Arial" w:hAnsi="Arial" w:cs="Arial"/>
          <w:sz w:val="22"/>
          <w:szCs w:val="22"/>
        </w:rPr>
        <w:t xml:space="preserve">tel/ </w:t>
      </w:r>
    </w:p>
    <w:p w14:paraId="00FDA7C9" w14:textId="77777777" w:rsidR="00527F60" w:rsidRPr="00D22838" w:rsidRDefault="00527F60" w:rsidP="00527F60">
      <w:pPr>
        <w:rPr>
          <w:rFonts w:ascii="Arial" w:hAnsi="Arial" w:cs="Arial"/>
          <w:sz w:val="22"/>
          <w:szCs w:val="22"/>
        </w:rPr>
      </w:pPr>
      <w:r w:rsidRPr="00D22838">
        <w:rPr>
          <w:rFonts w:ascii="Arial" w:hAnsi="Arial" w:cs="Arial"/>
          <w:sz w:val="22"/>
          <w:szCs w:val="22"/>
        </w:rPr>
        <w:t>IČO:</w:t>
      </w:r>
    </w:p>
    <w:p w14:paraId="1E1A727C" w14:textId="77777777" w:rsidR="00527F60" w:rsidRPr="00D22838" w:rsidRDefault="00527F60" w:rsidP="00527F60">
      <w:pPr>
        <w:ind w:firstLine="18"/>
        <w:rPr>
          <w:rFonts w:ascii="Arial" w:hAnsi="Arial" w:cs="Arial"/>
          <w:sz w:val="22"/>
          <w:szCs w:val="22"/>
        </w:rPr>
      </w:pPr>
      <w:r w:rsidRPr="00D22838">
        <w:rPr>
          <w:rFonts w:ascii="Arial" w:hAnsi="Arial" w:cs="Arial"/>
          <w:sz w:val="22"/>
          <w:szCs w:val="22"/>
        </w:rPr>
        <w:t xml:space="preserve">se sídlem: </w:t>
      </w:r>
    </w:p>
    <w:p w14:paraId="77A6B5D1" w14:textId="77777777" w:rsidR="00527F60" w:rsidRPr="00D22838" w:rsidRDefault="00527F60" w:rsidP="00527F60">
      <w:pPr>
        <w:rPr>
          <w:rFonts w:ascii="Arial" w:hAnsi="Arial" w:cs="Arial"/>
          <w:sz w:val="22"/>
          <w:szCs w:val="22"/>
        </w:rPr>
      </w:pPr>
      <w:r w:rsidRPr="00D22838">
        <w:rPr>
          <w:rFonts w:ascii="Arial" w:hAnsi="Arial" w:cs="Arial"/>
          <w:sz w:val="22"/>
          <w:szCs w:val="22"/>
        </w:rPr>
        <w:t>jejímž jménem jedná:</w:t>
      </w:r>
    </w:p>
    <w:p w14:paraId="519A1629" w14:textId="77777777" w:rsidR="00527F60" w:rsidRPr="00D22838" w:rsidRDefault="00527F60" w:rsidP="00527F60">
      <w:pPr>
        <w:rPr>
          <w:rFonts w:ascii="Arial" w:hAnsi="Arial" w:cs="Arial"/>
          <w:sz w:val="22"/>
          <w:szCs w:val="22"/>
        </w:rPr>
      </w:pPr>
      <w:r w:rsidRPr="00D22838">
        <w:rPr>
          <w:rFonts w:ascii="Arial" w:hAnsi="Arial" w:cs="Arial"/>
          <w:sz w:val="22"/>
          <w:szCs w:val="22"/>
        </w:rPr>
        <w:t xml:space="preserve">bankovní spojení: </w:t>
      </w:r>
    </w:p>
    <w:p w14:paraId="1F511576" w14:textId="77777777" w:rsidR="00527F60" w:rsidRPr="00D22838" w:rsidRDefault="00527F60" w:rsidP="00527F60">
      <w:pPr>
        <w:rPr>
          <w:rFonts w:ascii="Arial" w:hAnsi="Arial" w:cs="Arial"/>
          <w:sz w:val="22"/>
          <w:szCs w:val="22"/>
        </w:rPr>
      </w:pPr>
      <w:r w:rsidRPr="00D22838">
        <w:rPr>
          <w:rFonts w:ascii="Arial" w:hAnsi="Arial" w:cs="Arial"/>
          <w:sz w:val="22"/>
          <w:szCs w:val="22"/>
        </w:rPr>
        <w:t xml:space="preserve">číslo účtu: </w:t>
      </w:r>
    </w:p>
    <w:p w14:paraId="04B11F4C" w14:textId="33727004" w:rsidR="00527F60" w:rsidRPr="00D22838" w:rsidRDefault="00527F60" w:rsidP="00527F60">
      <w:pPr>
        <w:pStyle w:val="Prosttext"/>
        <w:rPr>
          <w:rFonts w:ascii="Arial" w:hAnsi="Arial" w:cs="Arial"/>
          <w:sz w:val="22"/>
          <w:szCs w:val="22"/>
          <w:lang w:val="cs-CZ" w:eastAsia="cs-CZ"/>
        </w:rPr>
      </w:pPr>
      <w:r w:rsidRPr="00D22838">
        <w:rPr>
          <w:rFonts w:ascii="Arial" w:hAnsi="Arial" w:cs="Arial"/>
          <w:sz w:val="22"/>
          <w:szCs w:val="22"/>
          <w:lang w:val="cs-CZ" w:eastAsia="cs-CZ"/>
        </w:rPr>
        <w:t xml:space="preserve">zapsaná v obchodním rejstříku vedeném </w:t>
      </w:r>
      <w:proofErr w:type="gramStart"/>
      <w:r w:rsidRPr="00D22838">
        <w:rPr>
          <w:rFonts w:ascii="Arial" w:hAnsi="Arial" w:cs="Arial"/>
          <w:sz w:val="22"/>
          <w:szCs w:val="22"/>
          <w:lang w:val="cs-CZ" w:eastAsia="cs-CZ"/>
        </w:rPr>
        <w:t>............. ,</w:t>
      </w:r>
      <w:proofErr w:type="gramEnd"/>
      <w:r w:rsidRPr="00D22838">
        <w:rPr>
          <w:rFonts w:ascii="Arial" w:hAnsi="Arial" w:cs="Arial"/>
          <w:sz w:val="22"/>
          <w:szCs w:val="22"/>
          <w:lang w:val="cs-CZ" w:eastAsia="cs-CZ"/>
        </w:rPr>
        <w:t xml:space="preserve"> </w:t>
      </w:r>
      <w:r w:rsidR="00E07A27">
        <w:rPr>
          <w:rFonts w:ascii="Arial" w:hAnsi="Arial" w:cs="Arial"/>
          <w:sz w:val="22"/>
          <w:szCs w:val="22"/>
          <w:lang w:val="cs-CZ" w:eastAsia="cs-CZ"/>
        </w:rPr>
        <w:t xml:space="preserve">v </w:t>
      </w:r>
      <w:r w:rsidRPr="00D22838">
        <w:rPr>
          <w:rFonts w:ascii="Arial" w:hAnsi="Arial" w:cs="Arial"/>
          <w:sz w:val="22"/>
          <w:szCs w:val="22"/>
          <w:lang w:val="cs-CZ" w:eastAsia="cs-CZ"/>
        </w:rPr>
        <w:t>oddíl</w:t>
      </w:r>
      <w:r w:rsidR="00E07A27">
        <w:rPr>
          <w:rFonts w:ascii="Arial" w:hAnsi="Arial" w:cs="Arial"/>
          <w:sz w:val="22"/>
          <w:szCs w:val="22"/>
          <w:lang w:val="cs-CZ" w:eastAsia="cs-CZ"/>
        </w:rPr>
        <w:t>e</w:t>
      </w:r>
      <w:r w:rsidR="00590659" w:rsidRPr="00D22838">
        <w:rPr>
          <w:rFonts w:ascii="Arial" w:hAnsi="Arial" w:cs="Arial"/>
          <w:sz w:val="22"/>
          <w:szCs w:val="22"/>
          <w:lang w:val="cs-CZ" w:eastAsia="cs-CZ"/>
        </w:rPr>
        <w:t>………</w:t>
      </w:r>
      <w:r w:rsidR="00E07A27">
        <w:rPr>
          <w:rFonts w:ascii="Arial" w:hAnsi="Arial" w:cs="Arial"/>
          <w:sz w:val="22"/>
          <w:szCs w:val="22"/>
          <w:lang w:val="cs-CZ" w:eastAsia="cs-CZ"/>
        </w:rPr>
        <w:t>, vložce</w:t>
      </w:r>
      <w:r w:rsidRPr="00D22838">
        <w:rPr>
          <w:rFonts w:ascii="Arial" w:hAnsi="Arial" w:cs="Arial"/>
          <w:sz w:val="22"/>
          <w:szCs w:val="22"/>
          <w:lang w:val="cs-CZ" w:eastAsia="cs-CZ"/>
        </w:rPr>
        <w:t xml:space="preserve"> </w:t>
      </w:r>
    </w:p>
    <w:p w14:paraId="1A0A4868" w14:textId="77777777" w:rsidR="00527F60" w:rsidRPr="00D22838" w:rsidRDefault="00527F60" w:rsidP="00527F60">
      <w:pPr>
        <w:pStyle w:val="Prosttext"/>
        <w:rPr>
          <w:rFonts w:ascii="Arial" w:hAnsi="Arial" w:cs="Arial"/>
          <w:sz w:val="22"/>
          <w:szCs w:val="22"/>
          <w:lang w:val="cs-CZ" w:eastAsia="cs-CZ"/>
        </w:rPr>
      </w:pPr>
    </w:p>
    <w:p w14:paraId="17886E30" w14:textId="75C3B79C" w:rsidR="00527F60" w:rsidRDefault="00527F60" w:rsidP="00527F60">
      <w:pPr>
        <w:widowControl w:val="0"/>
        <w:autoSpaceDE w:val="0"/>
        <w:autoSpaceDN w:val="0"/>
        <w:adjustRightInd w:val="0"/>
        <w:jc w:val="both"/>
        <w:rPr>
          <w:rFonts w:ascii="Arial" w:hAnsi="Arial" w:cs="Arial"/>
          <w:sz w:val="22"/>
          <w:szCs w:val="22"/>
        </w:rPr>
      </w:pPr>
      <w:r w:rsidRPr="00D22838">
        <w:rPr>
          <w:rFonts w:ascii="Arial" w:hAnsi="Arial" w:cs="Arial"/>
          <w:sz w:val="22"/>
          <w:szCs w:val="22"/>
        </w:rPr>
        <w:t>(dále jen „</w:t>
      </w:r>
      <w:r w:rsidR="005E13DA" w:rsidRPr="00D22838">
        <w:rPr>
          <w:rFonts w:ascii="Arial" w:hAnsi="Arial" w:cs="Arial"/>
          <w:b/>
          <w:sz w:val="22"/>
          <w:szCs w:val="22"/>
        </w:rPr>
        <w:t>D</w:t>
      </w:r>
      <w:r w:rsidRPr="00D22838">
        <w:rPr>
          <w:rFonts w:ascii="Arial" w:hAnsi="Arial" w:cs="Arial"/>
          <w:b/>
          <w:sz w:val="22"/>
          <w:szCs w:val="22"/>
        </w:rPr>
        <w:t>odavatel</w:t>
      </w:r>
      <w:r w:rsidRPr="00D22838">
        <w:rPr>
          <w:rFonts w:ascii="Arial" w:hAnsi="Arial" w:cs="Arial"/>
          <w:sz w:val="22"/>
          <w:szCs w:val="22"/>
        </w:rPr>
        <w:t>")</w:t>
      </w:r>
    </w:p>
    <w:p w14:paraId="7067CF5C" w14:textId="77777777" w:rsidR="00540525" w:rsidRPr="00D22838" w:rsidRDefault="00540525" w:rsidP="00527F60">
      <w:pPr>
        <w:widowControl w:val="0"/>
        <w:autoSpaceDE w:val="0"/>
        <w:autoSpaceDN w:val="0"/>
        <w:adjustRightInd w:val="0"/>
        <w:jc w:val="both"/>
        <w:rPr>
          <w:rFonts w:ascii="Arial" w:hAnsi="Arial" w:cs="Arial"/>
          <w:sz w:val="22"/>
          <w:szCs w:val="22"/>
        </w:rPr>
      </w:pPr>
    </w:p>
    <w:p w14:paraId="67F7E7F3" w14:textId="77777777" w:rsidR="00527F60" w:rsidRPr="00D22838" w:rsidRDefault="00527F60" w:rsidP="00527F60">
      <w:pPr>
        <w:rPr>
          <w:rFonts w:ascii="Arial" w:hAnsi="Arial" w:cs="Arial"/>
          <w:sz w:val="22"/>
          <w:szCs w:val="22"/>
        </w:rPr>
      </w:pPr>
      <w:r w:rsidRPr="00D22838">
        <w:rPr>
          <w:rFonts w:ascii="Arial" w:hAnsi="Arial" w:cs="Arial"/>
          <w:sz w:val="22"/>
          <w:szCs w:val="22"/>
        </w:rPr>
        <w:t>na straně druhé</w:t>
      </w:r>
    </w:p>
    <w:p w14:paraId="4E802993" w14:textId="77777777" w:rsidR="00E616C7" w:rsidRPr="00D22838" w:rsidRDefault="00E616C7" w:rsidP="00E616C7">
      <w:pPr>
        <w:widowControl w:val="0"/>
        <w:autoSpaceDE w:val="0"/>
        <w:autoSpaceDN w:val="0"/>
        <w:adjustRightInd w:val="0"/>
        <w:jc w:val="both"/>
        <w:rPr>
          <w:rFonts w:ascii="Arial" w:hAnsi="Arial" w:cs="Arial"/>
          <w:b/>
          <w:sz w:val="22"/>
          <w:szCs w:val="22"/>
        </w:rPr>
      </w:pPr>
    </w:p>
    <w:p w14:paraId="25C7D574" w14:textId="28CD6E4C" w:rsidR="00E616C7" w:rsidRPr="00D22838" w:rsidRDefault="00510A96" w:rsidP="00E616C7">
      <w:pPr>
        <w:widowControl w:val="0"/>
        <w:autoSpaceDE w:val="0"/>
        <w:autoSpaceDN w:val="0"/>
        <w:adjustRightInd w:val="0"/>
        <w:jc w:val="both"/>
        <w:rPr>
          <w:rFonts w:ascii="Arial" w:hAnsi="Arial" w:cs="Arial"/>
          <w:sz w:val="22"/>
          <w:szCs w:val="22"/>
        </w:rPr>
      </w:pPr>
      <w:r w:rsidRPr="00D22838">
        <w:rPr>
          <w:rFonts w:ascii="Arial" w:hAnsi="Arial" w:cs="Arial"/>
          <w:sz w:val="22"/>
          <w:szCs w:val="22"/>
        </w:rPr>
        <w:t>(společně též „</w:t>
      </w:r>
      <w:r w:rsidRPr="00D22838">
        <w:rPr>
          <w:rFonts w:ascii="Arial" w:hAnsi="Arial" w:cs="Arial"/>
          <w:b/>
          <w:sz w:val="22"/>
          <w:szCs w:val="22"/>
        </w:rPr>
        <w:t>smluvní strany</w:t>
      </w:r>
      <w:r w:rsidRPr="00D22838">
        <w:rPr>
          <w:rFonts w:ascii="Arial" w:hAnsi="Arial" w:cs="Arial"/>
          <w:sz w:val="22"/>
          <w:szCs w:val="22"/>
        </w:rPr>
        <w:t>“)</w:t>
      </w:r>
    </w:p>
    <w:p w14:paraId="6C0D23F0" w14:textId="77777777" w:rsidR="00510A96" w:rsidRPr="00D22838" w:rsidRDefault="00510A96" w:rsidP="00E616C7">
      <w:pPr>
        <w:widowControl w:val="0"/>
        <w:autoSpaceDE w:val="0"/>
        <w:autoSpaceDN w:val="0"/>
        <w:adjustRightInd w:val="0"/>
        <w:jc w:val="both"/>
        <w:rPr>
          <w:rFonts w:ascii="Arial" w:hAnsi="Arial" w:cs="Arial"/>
          <w:sz w:val="22"/>
          <w:szCs w:val="22"/>
        </w:rPr>
      </w:pPr>
    </w:p>
    <w:p w14:paraId="7E548FF0" w14:textId="378A77CD" w:rsidR="00527F60" w:rsidRPr="00D22838" w:rsidRDefault="00527F60" w:rsidP="00527F60">
      <w:pPr>
        <w:jc w:val="both"/>
        <w:rPr>
          <w:rFonts w:ascii="Arial" w:hAnsi="Arial" w:cs="Arial"/>
          <w:sz w:val="22"/>
          <w:szCs w:val="22"/>
        </w:rPr>
      </w:pPr>
      <w:r w:rsidRPr="00D22838">
        <w:rPr>
          <w:rFonts w:ascii="Arial" w:hAnsi="Arial" w:cs="Arial"/>
          <w:sz w:val="22"/>
          <w:szCs w:val="22"/>
        </w:rPr>
        <w:t>uzavřel</w:t>
      </w:r>
      <w:r w:rsidR="00540525">
        <w:rPr>
          <w:rFonts w:ascii="Arial" w:hAnsi="Arial" w:cs="Arial"/>
          <w:sz w:val="22"/>
          <w:szCs w:val="22"/>
        </w:rPr>
        <w:t>y</w:t>
      </w:r>
      <w:r w:rsidRPr="00D22838">
        <w:rPr>
          <w:rFonts w:ascii="Arial" w:hAnsi="Arial" w:cs="Arial"/>
          <w:sz w:val="22"/>
          <w:szCs w:val="22"/>
        </w:rPr>
        <w:t xml:space="preserve"> níže uvedeného dne, měsíce a roku v souladu s § </w:t>
      </w:r>
      <w:r w:rsidR="008027C1" w:rsidRPr="00D22838">
        <w:rPr>
          <w:rFonts w:ascii="Arial" w:hAnsi="Arial" w:cs="Arial"/>
          <w:sz w:val="22"/>
          <w:szCs w:val="22"/>
        </w:rPr>
        <w:t>17</w:t>
      </w:r>
      <w:r w:rsidR="00EC2FAF" w:rsidRPr="00D22838">
        <w:rPr>
          <w:rFonts w:ascii="Arial" w:hAnsi="Arial" w:cs="Arial"/>
          <w:sz w:val="22"/>
          <w:szCs w:val="22"/>
        </w:rPr>
        <w:t>46 odst. 2</w:t>
      </w:r>
      <w:r w:rsidRPr="00D22838">
        <w:rPr>
          <w:rFonts w:ascii="Arial" w:hAnsi="Arial" w:cs="Arial"/>
          <w:sz w:val="22"/>
          <w:szCs w:val="22"/>
        </w:rPr>
        <w:t xml:space="preserve"> </w:t>
      </w:r>
      <w:r w:rsidR="00EC2FAF" w:rsidRPr="00D22838">
        <w:rPr>
          <w:rFonts w:ascii="Arial" w:hAnsi="Arial" w:cs="Arial"/>
          <w:sz w:val="22"/>
          <w:szCs w:val="22"/>
        </w:rPr>
        <w:t xml:space="preserve">zákona </w:t>
      </w:r>
      <w:r w:rsidRPr="00D22838">
        <w:rPr>
          <w:rFonts w:ascii="Arial" w:hAnsi="Arial" w:cs="Arial"/>
          <w:sz w:val="22"/>
          <w:szCs w:val="22"/>
        </w:rPr>
        <w:t>č. 89/2012 Sb., občanský zákoník, ve znění pozdějších předpisů (dále jen „</w:t>
      </w:r>
      <w:r w:rsidR="00483EB9" w:rsidRPr="00D22838">
        <w:rPr>
          <w:rFonts w:ascii="Arial" w:hAnsi="Arial" w:cs="Arial"/>
          <w:sz w:val="22"/>
          <w:szCs w:val="22"/>
        </w:rPr>
        <w:t>OZ</w:t>
      </w:r>
      <w:r w:rsidRPr="00D22838">
        <w:rPr>
          <w:rFonts w:ascii="Arial" w:hAnsi="Arial" w:cs="Arial"/>
          <w:sz w:val="22"/>
          <w:szCs w:val="22"/>
        </w:rPr>
        <w:t>“), a za podmínek dále uvedených tuto</w:t>
      </w:r>
    </w:p>
    <w:p w14:paraId="0D22F15D" w14:textId="77777777" w:rsidR="00907514" w:rsidRPr="00D22838" w:rsidRDefault="00907514" w:rsidP="00E616C7">
      <w:pPr>
        <w:widowControl w:val="0"/>
        <w:autoSpaceDE w:val="0"/>
        <w:autoSpaceDN w:val="0"/>
        <w:adjustRightInd w:val="0"/>
        <w:jc w:val="both"/>
        <w:rPr>
          <w:rFonts w:ascii="Arial" w:hAnsi="Arial" w:cs="Arial"/>
          <w:b/>
          <w:sz w:val="22"/>
          <w:szCs w:val="22"/>
        </w:rPr>
      </w:pPr>
    </w:p>
    <w:p w14:paraId="109223FA" w14:textId="77777777" w:rsidR="00907514" w:rsidRPr="00D22838" w:rsidRDefault="00907514" w:rsidP="00527F60">
      <w:pPr>
        <w:widowControl w:val="0"/>
        <w:autoSpaceDE w:val="0"/>
        <w:autoSpaceDN w:val="0"/>
        <w:adjustRightInd w:val="0"/>
        <w:jc w:val="center"/>
        <w:rPr>
          <w:rFonts w:ascii="Arial" w:hAnsi="Arial" w:cs="Arial"/>
          <w:sz w:val="22"/>
          <w:szCs w:val="22"/>
        </w:rPr>
      </w:pPr>
    </w:p>
    <w:p w14:paraId="7E99F269" w14:textId="77777777" w:rsidR="002004ED" w:rsidRPr="00D22838" w:rsidRDefault="002004ED" w:rsidP="00527F60">
      <w:pPr>
        <w:widowControl w:val="0"/>
        <w:autoSpaceDE w:val="0"/>
        <w:autoSpaceDN w:val="0"/>
        <w:adjustRightInd w:val="0"/>
        <w:jc w:val="center"/>
        <w:rPr>
          <w:rFonts w:ascii="Arial" w:hAnsi="Arial" w:cs="Arial"/>
          <w:sz w:val="22"/>
          <w:szCs w:val="22"/>
        </w:rPr>
      </w:pPr>
    </w:p>
    <w:p w14:paraId="6CA5F8C7" w14:textId="2A4FD949" w:rsidR="00FB0FE0" w:rsidRPr="00D22838" w:rsidRDefault="00510A96" w:rsidP="00527F60">
      <w:pPr>
        <w:widowControl w:val="0"/>
        <w:autoSpaceDE w:val="0"/>
        <w:autoSpaceDN w:val="0"/>
        <w:adjustRightInd w:val="0"/>
        <w:jc w:val="center"/>
        <w:rPr>
          <w:rFonts w:ascii="Arial" w:hAnsi="Arial" w:cs="Arial"/>
          <w:b/>
          <w:sz w:val="22"/>
          <w:szCs w:val="22"/>
        </w:rPr>
      </w:pPr>
      <w:r w:rsidRPr="00D22838">
        <w:rPr>
          <w:rFonts w:ascii="Arial" w:hAnsi="Arial" w:cs="Arial"/>
          <w:b/>
          <w:sz w:val="22"/>
          <w:szCs w:val="22"/>
        </w:rPr>
        <w:t>R</w:t>
      </w:r>
      <w:r w:rsidR="0017698A" w:rsidRPr="00D22838">
        <w:rPr>
          <w:rFonts w:ascii="Arial" w:hAnsi="Arial" w:cs="Arial"/>
          <w:b/>
          <w:sz w:val="22"/>
          <w:szCs w:val="22"/>
        </w:rPr>
        <w:t xml:space="preserve">ámcovou </w:t>
      </w:r>
      <w:r w:rsidR="00483EB9" w:rsidRPr="00D22838">
        <w:rPr>
          <w:rFonts w:ascii="Arial" w:hAnsi="Arial" w:cs="Arial"/>
          <w:b/>
          <w:sz w:val="22"/>
          <w:szCs w:val="22"/>
        </w:rPr>
        <w:t>D</w:t>
      </w:r>
      <w:r w:rsidR="0017698A" w:rsidRPr="00D22838">
        <w:rPr>
          <w:rFonts w:ascii="Arial" w:hAnsi="Arial" w:cs="Arial"/>
          <w:b/>
          <w:sz w:val="22"/>
          <w:szCs w:val="22"/>
        </w:rPr>
        <w:t>ohodu</w:t>
      </w:r>
      <w:r w:rsidR="002A6701" w:rsidRPr="00D22838">
        <w:rPr>
          <w:rFonts w:ascii="Arial" w:hAnsi="Arial" w:cs="Arial"/>
          <w:b/>
          <w:sz w:val="22"/>
          <w:szCs w:val="22"/>
        </w:rPr>
        <w:t xml:space="preserve"> na</w:t>
      </w:r>
      <w:r w:rsidR="00B00CFE" w:rsidRPr="00D22838">
        <w:rPr>
          <w:rFonts w:ascii="Arial" w:hAnsi="Arial" w:cs="Arial"/>
          <w:b/>
          <w:sz w:val="22"/>
          <w:szCs w:val="22"/>
        </w:rPr>
        <w:t xml:space="preserve"> </w:t>
      </w:r>
    </w:p>
    <w:p w14:paraId="139E2733" w14:textId="77777777" w:rsidR="00FB0FE0" w:rsidRPr="00D22838" w:rsidRDefault="00FB0FE0" w:rsidP="00527F60">
      <w:pPr>
        <w:widowControl w:val="0"/>
        <w:autoSpaceDE w:val="0"/>
        <w:autoSpaceDN w:val="0"/>
        <w:adjustRightInd w:val="0"/>
        <w:jc w:val="center"/>
        <w:rPr>
          <w:rFonts w:ascii="Arial" w:hAnsi="Arial" w:cs="Arial"/>
          <w:sz w:val="22"/>
          <w:szCs w:val="22"/>
        </w:rPr>
      </w:pPr>
    </w:p>
    <w:p w14:paraId="7ED58FC0" w14:textId="77777777" w:rsidR="002004ED" w:rsidRPr="00D22838" w:rsidRDefault="002004ED" w:rsidP="00527F60">
      <w:pPr>
        <w:widowControl w:val="0"/>
        <w:autoSpaceDE w:val="0"/>
        <w:autoSpaceDN w:val="0"/>
        <w:adjustRightInd w:val="0"/>
        <w:jc w:val="center"/>
        <w:rPr>
          <w:rFonts w:ascii="Arial" w:hAnsi="Arial" w:cs="Arial"/>
          <w:b/>
          <w:sz w:val="22"/>
          <w:szCs w:val="22"/>
        </w:rPr>
      </w:pPr>
    </w:p>
    <w:p w14:paraId="517AE138" w14:textId="7FB21517" w:rsidR="00401EBE" w:rsidRDefault="00BA5B1B" w:rsidP="008A5825">
      <w:pPr>
        <w:widowControl w:val="0"/>
        <w:autoSpaceDE w:val="0"/>
        <w:autoSpaceDN w:val="0"/>
        <w:adjustRightInd w:val="0"/>
        <w:jc w:val="center"/>
        <w:rPr>
          <w:rFonts w:ascii="Arial" w:hAnsi="Arial" w:cs="Arial"/>
          <w:b/>
          <w:sz w:val="22"/>
          <w:szCs w:val="22"/>
        </w:rPr>
      </w:pPr>
      <w:r w:rsidRPr="00D22838">
        <w:rPr>
          <w:rFonts w:ascii="Arial" w:hAnsi="Arial" w:cs="Arial"/>
          <w:b/>
          <w:sz w:val="22"/>
          <w:szCs w:val="22"/>
        </w:rPr>
        <w:t>„</w:t>
      </w:r>
      <w:r w:rsidR="00F46C46">
        <w:rPr>
          <w:rFonts w:ascii="Arial" w:hAnsi="Arial" w:cs="Arial"/>
          <w:b/>
          <w:sz w:val="22"/>
          <w:szCs w:val="22"/>
        </w:rPr>
        <w:t>Z</w:t>
      </w:r>
      <w:r w:rsidR="00F46C46" w:rsidRPr="00F46C46">
        <w:rPr>
          <w:rFonts w:ascii="Arial" w:hAnsi="Arial" w:cs="Arial"/>
          <w:b/>
          <w:sz w:val="22"/>
          <w:szCs w:val="22"/>
        </w:rPr>
        <w:t>ajištění technologické podpory HW IBM a Intel</w:t>
      </w:r>
      <w:r w:rsidR="00F46C46">
        <w:rPr>
          <w:rFonts w:ascii="Arial" w:hAnsi="Arial" w:cs="Arial"/>
          <w:b/>
          <w:sz w:val="22"/>
          <w:szCs w:val="22"/>
        </w:rPr>
        <w:t xml:space="preserve"> na 4 roky</w:t>
      </w:r>
      <w:r w:rsidR="00A77E46" w:rsidRPr="00D22838">
        <w:rPr>
          <w:rFonts w:ascii="Arial" w:hAnsi="Arial" w:cs="Arial"/>
          <w:b/>
          <w:sz w:val="22"/>
          <w:szCs w:val="22"/>
        </w:rPr>
        <w:t>“</w:t>
      </w:r>
    </w:p>
    <w:p w14:paraId="7323BEA9" w14:textId="77777777" w:rsidR="00540525" w:rsidRPr="00D22838" w:rsidRDefault="00540525" w:rsidP="008A5825">
      <w:pPr>
        <w:widowControl w:val="0"/>
        <w:autoSpaceDE w:val="0"/>
        <w:autoSpaceDN w:val="0"/>
        <w:adjustRightInd w:val="0"/>
        <w:jc w:val="center"/>
        <w:rPr>
          <w:rFonts w:ascii="Arial" w:hAnsi="Arial" w:cs="Arial"/>
          <w:sz w:val="22"/>
          <w:szCs w:val="22"/>
        </w:rPr>
      </w:pPr>
    </w:p>
    <w:p w14:paraId="1245B419" w14:textId="2DD307D8" w:rsidR="006B0F17" w:rsidRPr="00D22838" w:rsidRDefault="006B0F17" w:rsidP="00527F60">
      <w:pPr>
        <w:widowControl w:val="0"/>
        <w:autoSpaceDE w:val="0"/>
        <w:autoSpaceDN w:val="0"/>
        <w:adjustRightInd w:val="0"/>
        <w:jc w:val="center"/>
        <w:rPr>
          <w:rFonts w:ascii="Arial" w:hAnsi="Arial" w:cs="Arial"/>
          <w:sz w:val="22"/>
          <w:szCs w:val="22"/>
        </w:rPr>
      </w:pPr>
      <w:r w:rsidRPr="00D22838">
        <w:rPr>
          <w:rFonts w:ascii="Arial" w:hAnsi="Arial" w:cs="Arial"/>
          <w:sz w:val="22"/>
          <w:szCs w:val="22"/>
        </w:rPr>
        <w:t>(dále jen „</w:t>
      </w:r>
      <w:r w:rsidR="0017698A" w:rsidRPr="00540525">
        <w:rPr>
          <w:rFonts w:ascii="Arial" w:hAnsi="Arial" w:cs="Arial"/>
          <w:b/>
          <w:sz w:val="22"/>
          <w:szCs w:val="22"/>
        </w:rPr>
        <w:t>Dohoda</w:t>
      </w:r>
      <w:r w:rsidRPr="00D22838">
        <w:rPr>
          <w:rFonts w:ascii="Arial" w:hAnsi="Arial" w:cs="Arial"/>
          <w:sz w:val="22"/>
          <w:szCs w:val="22"/>
        </w:rPr>
        <w:t>“)</w:t>
      </w:r>
    </w:p>
    <w:p w14:paraId="721F1268" w14:textId="77777777" w:rsidR="00907514" w:rsidRPr="00D22838" w:rsidRDefault="00907514" w:rsidP="00907514">
      <w:pPr>
        <w:widowControl w:val="0"/>
        <w:autoSpaceDE w:val="0"/>
        <w:autoSpaceDN w:val="0"/>
        <w:adjustRightInd w:val="0"/>
        <w:jc w:val="center"/>
        <w:rPr>
          <w:rFonts w:ascii="Arial" w:hAnsi="Arial" w:cs="Arial"/>
          <w:sz w:val="22"/>
          <w:szCs w:val="22"/>
        </w:rPr>
      </w:pPr>
    </w:p>
    <w:p w14:paraId="2D1223A8" w14:textId="4E543B7A" w:rsidR="00907514" w:rsidRPr="00D22838" w:rsidRDefault="00907514" w:rsidP="00907514">
      <w:pPr>
        <w:widowControl w:val="0"/>
        <w:autoSpaceDE w:val="0"/>
        <w:autoSpaceDN w:val="0"/>
        <w:adjustRightInd w:val="0"/>
        <w:jc w:val="center"/>
        <w:rPr>
          <w:rFonts w:ascii="Arial" w:hAnsi="Arial" w:cs="Arial"/>
          <w:sz w:val="22"/>
          <w:szCs w:val="22"/>
        </w:rPr>
      </w:pPr>
    </w:p>
    <w:p w14:paraId="34A7C8BF" w14:textId="1DA06DE3" w:rsidR="00516D2D" w:rsidRPr="00D22838" w:rsidRDefault="00516D2D" w:rsidP="00907514">
      <w:pPr>
        <w:widowControl w:val="0"/>
        <w:autoSpaceDE w:val="0"/>
        <w:autoSpaceDN w:val="0"/>
        <w:adjustRightInd w:val="0"/>
        <w:jc w:val="center"/>
        <w:rPr>
          <w:rFonts w:ascii="Arial" w:hAnsi="Arial" w:cs="Arial"/>
          <w:sz w:val="22"/>
          <w:szCs w:val="22"/>
        </w:rPr>
      </w:pPr>
    </w:p>
    <w:p w14:paraId="2EA4665F" w14:textId="529FDF07" w:rsidR="00510A96" w:rsidRPr="00D22838" w:rsidRDefault="00510A96" w:rsidP="00907514">
      <w:pPr>
        <w:widowControl w:val="0"/>
        <w:autoSpaceDE w:val="0"/>
        <w:autoSpaceDN w:val="0"/>
        <w:adjustRightInd w:val="0"/>
        <w:jc w:val="center"/>
        <w:rPr>
          <w:rFonts w:ascii="Arial" w:hAnsi="Arial" w:cs="Arial"/>
          <w:sz w:val="22"/>
          <w:szCs w:val="22"/>
        </w:rPr>
      </w:pPr>
    </w:p>
    <w:p w14:paraId="5A3C0375" w14:textId="4FCFBF77" w:rsidR="00510A96" w:rsidRPr="00D22838" w:rsidRDefault="00510A96" w:rsidP="00907514">
      <w:pPr>
        <w:widowControl w:val="0"/>
        <w:autoSpaceDE w:val="0"/>
        <w:autoSpaceDN w:val="0"/>
        <w:adjustRightInd w:val="0"/>
        <w:jc w:val="center"/>
        <w:rPr>
          <w:rFonts w:ascii="Arial" w:hAnsi="Arial" w:cs="Arial"/>
          <w:sz w:val="22"/>
          <w:szCs w:val="22"/>
        </w:rPr>
      </w:pPr>
    </w:p>
    <w:p w14:paraId="6FF11BCF" w14:textId="0FC4BD67" w:rsidR="00A55998" w:rsidRPr="00D22838" w:rsidRDefault="00A55998" w:rsidP="00907514">
      <w:pPr>
        <w:widowControl w:val="0"/>
        <w:autoSpaceDE w:val="0"/>
        <w:autoSpaceDN w:val="0"/>
        <w:adjustRightInd w:val="0"/>
        <w:jc w:val="center"/>
        <w:rPr>
          <w:rFonts w:ascii="Arial" w:hAnsi="Arial" w:cs="Arial"/>
          <w:sz w:val="22"/>
          <w:szCs w:val="22"/>
        </w:rPr>
      </w:pPr>
    </w:p>
    <w:p w14:paraId="09A2CCCC" w14:textId="77777777" w:rsidR="00A55998" w:rsidRPr="00D22838" w:rsidRDefault="00A55998" w:rsidP="00907514">
      <w:pPr>
        <w:widowControl w:val="0"/>
        <w:autoSpaceDE w:val="0"/>
        <w:autoSpaceDN w:val="0"/>
        <w:adjustRightInd w:val="0"/>
        <w:jc w:val="center"/>
        <w:rPr>
          <w:rFonts w:ascii="Arial" w:hAnsi="Arial" w:cs="Arial"/>
          <w:sz w:val="22"/>
          <w:szCs w:val="22"/>
        </w:rPr>
      </w:pPr>
    </w:p>
    <w:p w14:paraId="7DDA57EA" w14:textId="3C6BABFC" w:rsidR="00A55998" w:rsidRPr="00D22838" w:rsidRDefault="00A55998" w:rsidP="00907514">
      <w:pPr>
        <w:widowControl w:val="0"/>
        <w:autoSpaceDE w:val="0"/>
        <w:autoSpaceDN w:val="0"/>
        <w:adjustRightInd w:val="0"/>
        <w:jc w:val="center"/>
        <w:rPr>
          <w:rFonts w:ascii="Arial" w:hAnsi="Arial" w:cs="Arial"/>
          <w:sz w:val="22"/>
          <w:szCs w:val="22"/>
        </w:rPr>
      </w:pPr>
    </w:p>
    <w:p w14:paraId="09B1C5AE" w14:textId="7FBC02A3" w:rsidR="00A55998" w:rsidRPr="00D22838" w:rsidRDefault="00A55998" w:rsidP="00907514">
      <w:pPr>
        <w:widowControl w:val="0"/>
        <w:autoSpaceDE w:val="0"/>
        <w:autoSpaceDN w:val="0"/>
        <w:adjustRightInd w:val="0"/>
        <w:jc w:val="center"/>
        <w:rPr>
          <w:rFonts w:ascii="Arial" w:hAnsi="Arial" w:cs="Arial"/>
          <w:sz w:val="22"/>
          <w:szCs w:val="22"/>
        </w:rPr>
      </w:pPr>
    </w:p>
    <w:p w14:paraId="6ABE1DAD" w14:textId="77777777" w:rsidR="00730E49" w:rsidRPr="00D22838" w:rsidRDefault="00730E49" w:rsidP="00907514">
      <w:pPr>
        <w:widowControl w:val="0"/>
        <w:autoSpaceDE w:val="0"/>
        <w:autoSpaceDN w:val="0"/>
        <w:adjustRightInd w:val="0"/>
        <w:jc w:val="center"/>
        <w:rPr>
          <w:rFonts w:ascii="Arial" w:hAnsi="Arial" w:cs="Arial"/>
          <w:sz w:val="22"/>
          <w:szCs w:val="22"/>
        </w:rPr>
      </w:pPr>
    </w:p>
    <w:p w14:paraId="116ED80D" w14:textId="64631AAD" w:rsidR="00A55998" w:rsidRPr="00D22838" w:rsidRDefault="00A55998" w:rsidP="00907514">
      <w:pPr>
        <w:widowControl w:val="0"/>
        <w:autoSpaceDE w:val="0"/>
        <w:autoSpaceDN w:val="0"/>
        <w:adjustRightInd w:val="0"/>
        <w:jc w:val="center"/>
        <w:rPr>
          <w:rFonts w:ascii="Arial" w:hAnsi="Arial" w:cs="Arial"/>
          <w:sz w:val="22"/>
          <w:szCs w:val="22"/>
        </w:rPr>
      </w:pPr>
    </w:p>
    <w:p w14:paraId="49034247" w14:textId="1D12790F" w:rsidR="00A55998" w:rsidRPr="00D22838" w:rsidRDefault="00A55998" w:rsidP="00907514">
      <w:pPr>
        <w:widowControl w:val="0"/>
        <w:autoSpaceDE w:val="0"/>
        <w:autoSpaceDN w:val="0"/>
        <w:adjustRightInd w:val="0"/>
        <w:jc w:val="center"/>
        <w:rPr>
          <w:rFonts w:ascii="Arial" w:hAnsi="Arial" w:cs="Arial"/>
          <w:sz w:val="22"/>
          <w:szCs w:val="22"/>
        </w:rPr>
      </w:pPr>
    </w:p>
    <w:p w14:paraId="66BEF0FD" w14:textId="77777777" w:rsidR="00A55998" w:rsidRPr="00D22838" w:rsidRDefault="00A55998" w:rsidP="00A55998">
      <w:pPr>
        <w:widowControl w:val="0"/>
        <w:autoSpaceDE w:val="0"/>
        <w:autoSpaceDN w:val="0"/>
        <w:adjustRightInd w:val="0"/>
        <w:spacing w:after="120" w:line="360" w:lineRule="auto"/>
        <w:jc w:val="center"/>
        <w:rPr>
          <w:rFonts w:ascii="Arial" w:hAnsi="Arial" w:cs="Arial"/>
          <w:bCs/>
          <w:sz w:val="22"/>
          <w:szCs w:val="22"/>
        </w:rPr>
      </w:pPr>
      <w:r w:rsidRPr="00D22838">
        <w:rPr>
          <w:rFonts w:ascii="Arial" w:hAnsi="Arial" w:cs="Arial"/>
          <w:b/>
          <w:bCs/>
          <w:sz w:val="22"/>
          <w:szCs w:val="22"/>
        </w:rPr>
        <w:t>PREAMBULE</w:t>
      </w:r>
    </w:p>
    <w:p w14:paraId="4630159E" w14:textId="49920D8F" w:rsidR="00A55998" w:rsidRPr="00D22838" w:rsidRDefault="00A55998" w:rsidP="00E07A27">
      <w:pPr>
        <w:pStyle w:val="Odstavecseseznamem"/>
        <w:widowControl w:val="0"/>
        <w:autoSpaceDE w:val="0"/>
        <w:autoSpaceDN w:val="0"/>
        <w:adjustRightInd w:val="0"/>
        <w:ind w:left="0"/>
        <w:contextualSpacing w:val="0"/>
        <w:jc w:val="both"/>
        <w:rPr>
          <w:rFonts w:ascii="Arial" w:hAnsi="Arial" w:cs="Arial"/>
          <w:sz w:val="22"/>
          <w:szCs w:val="22"/>
        </w:rPr>
      </w:pPr>
      <w:r w:rsidRPr="00D22838">
        <w:rPr>
          <w:rFonts w:ascii="Arial" w:hAnsi="Arial" w:cs="Arial"/>
          <w:sz w:val="22"/>
          <w:szCs w:val="22"/>
        </w:rPr>
        <w:t xml:space="preserve">Tato </w:t>
      </w:r>
      <w:r w:rsidR="007B0ABE" w:rsidRPr="00D22838">
        <w:rPr>
          <w:rFonts w:ascii="Arial" w:hAnsi="Arial" w:cs="Arial"/>
          <w:sz w:val="22"/>
          <w:szCs w:val="22"/>
        </w:rPr>
        <w:t>Dohoda</w:t>
      </w:r>
      <w:r w:rsidRPr="00D22838">
        <w:rPr>
          <w:rFonts w:ascii="Arial" w:hAnsi="Arial" w:cs="Arial"/>
          <w:sz w:val="22"/>
          <w:szCs w:val="22"/>
        </w:rPr>
        <w:t xml:space="preserve"> je uzavřena v souladu s nabídkou Dodavatele ze dne </w:t>
      </w:r>
      <w:r w:rsidRPr="00D22838">
        <w:rPr>
          <w:rFonts w:ascii="Arial" w:hAnsi="Arial" w:cs="Arial"/>
          <w:sz w:val="22"/>
          <w:szCs w:val="22"/>
          <w:highlight w:val="yellow"/>
        </w:rPr>
        <w:t>………………. (</w:t>
      </w:r>
      <w:r w:rsidRPr="00D22838">
        <w:rPr>
          <w:rFonts w:ascii="Arial" w:hAnsi="Arial" w:cs="Arial"/>
          <w:i/>
          <w:sz w:val="22"/>
          <w:szCs w:val="22"/>
          <w:highlight w:val="yellow"/>
        </w:rPr>
        <w:t xml:space="preserve">bude doplněno před </w:t>
      </w:r>
      <w:r w:rsidRPr="00E07A27">
        <w:rPr>
          <w:rFonts w:ascii="Arial" w:hAnsi="Arial" w:cs="Arial"/>
          <w:i/>
          <w:sz w:val="22"/>
          <w:szCs w:val="22"/>
          <w:highlight w:val="yellow"/>
        </w:rPr>
        <w:t xml:space="preserve">podpisem </w:t>
      </w:r>
      <w:r w:rsidR="00E07A27" w:rsidRPr="00E07A27">
        <w:rPr>
          <w:rFonts w:ascii="Arial" w:hAnsi="Arial" w:cs="Arial"/>
          <w:i/>
          <w:sz w:val="22"/>
          <w:szCs w:val="22"/>
          <w:highlight w:val="yellow"/>
        </w:rPr>
        <w:t>Dohody</w:t>
      </w:r>
      <w:r w:rsidRPr="00D22838">
        <w:rPr>
          <w:rFonts w:ascii="Arial" w:hAnsi="Arial" w:cs="Arial"/>
          <w:sz w:val="22"/>
          <w:szCs w:val="22"/>
        </w:rPr>
        <w:t>), kterou podal do veřejné zakázky „</w:t>
      </w:r>
      <w:r w:rsidR="00F46C46" w:rsidRPr="00F46C46">
        <w:rPr>
          <w:rFonts w:ascii="Arial" w:hAnsi="Arial" w:cs="Arial"/>
          <w:b/>
          <w:sz w:val="22"/>
          <w:szCs w:val="22"/>
        </w:rPr>
        <w:t>Zajištění technologické podpory HW IBM a Intel na 4 roky</w:t>
      </w:r>
      <w:r w:rsidRPr="00D22838">
        <w:rPr>
          <w:rFonts w:ascii="Arial" w:hAnsi="Arial" w:cs="Arial"/>
          <w:b/>
          <w:sz w:val="22"/>
          <w:szCs w:val="22"/>
        </w:rPr>
        <w:t>“</w:t>
      </w:r>
      <w:r w:rsidR="00C70097" w:rsidRPr="00D22838">
        <w:rPr>
          <w:rFonts w:ascii="Arial" w:hAnsi="Arial" w:cs="Arial"/>
          <w:b/>
          <w:sz w:val="22"/>
          <w:szCs w:val="22"/>
        </w:rPr>
        <w:t xml:space="preserve"> </w:t>
      </w:r>
      <w:r w:rsidR="00C70097" w:rsidRPr="00D22838">
        <w:rPr>
          <w:rFonts w:ascii="Arial" w:hAnsi="Arial" w:cs="Arial"/>
          <w:sz w:val="22"/>
          <w:szCs w:val="22"/>
        </w:rPr>
        <w:t>s evidenčním číslem veřejné zakázky ve Věstníku veřejných zakázek</w:t>
      </w:r>
      <w:r w:rsidR="00C70097" w:rsidRPr="00D22838">
        <w:rPr>
          <w:rFonts w:ascii="Arial" w:hAnsi="Arial" w:cs="Arial"/>
          <w:sz w:val="22"/>
          <w:szCs w:val="22"/>
          <w:highlight w:val="yellow"/>
        </w:rPr>
        <w:t>………</w:t>
      </w:r>
      <w:proofErr w:type="gramStart"/>
      <w:r w:rsidR="00C70097" w:rsidRPr="00D22838">
        <w:rPr>
          <w:rFonts w:ascii="Arial" w:hAnsi="Arial" w:cs="Arial"/>
          <w:sz w:val="22"/>
          <w:szCs w:val="22"/>
          <w:highlight w:val="yellow"/>
        </w:rPr>
        <w:t>…….</w:t>
      </w:r>
      <w:proofErr w:type="gramEnd"/>
      <w:r w:rsidR="00C70097" w:rsidRPr="00D22838">
        <w:rPr>
          <w:rFonts w:ascii="Arial" w:hAnsi="Arial" w:cs="Arial"/>
          <w:sz w:val="22"/>
          <w:szCs w:val="22"/>
          <w:highlight w:val="yellow"/>
        </w:rPr>
        <w:t>.</w:t>
      </w:r>
      <w:r w:rsidR="0035553C" w:rsidRPr="00D22838">
        <w:rPr>
          <w:rFonts w:ascii="Arial" w:hAnsi="Arial" w:cs="Arial"/>
          <w:sz w:val="22"/>
          <w:szCs w:val="22"/>
          <w:highlight w:val="yellow"/>
        </w:rPr>
        <w:t xml:space="preserve"> (</w:t>
      </w:r>
      <w:r w:rsidR="0035553C" w:rsidRPr="00D22838">
        <w:rPr>
          <w:rFonts w:ascii="Arial" w:hAnsi="Arial" w:cs="Arial"/>
          <w:i/>
          <w:sz w:val="22"/>
          <w:szCs w:val="22"/>
          <w:highlight w:val="yellow"/>
        </w:rPr>
        <w:t xml:space="preserve">bude doplněno před podpisem </w:t>
      </w:r>
      <w:r w:rsidR="00E07A27" w:rsidRPr="00E07A27">
        <w:rPr>
          <w:rFonts w:ascii="Arial" w:hAnsi="Arial" w:cs="Arial"/>
          <w:i/>
          <w:sz w:val="22"/>
          <w:szCs w:val="22"/>
          <w:highlight w:val="yellow"/>
        </w:rPr>
        <w:t>Dohody</w:t>
      </w:r>
      <w:r w:rsidR="0035553C" w:rsidRPr="00D22838">
        <w:rPr>
          <w:rFonts w:ascii="Arial" w:hAnsi="Arial" w:cs="Arial"/>
          <w:sz w:val="22"/>
          <w:szCs w:val="22"/>
        </w:rPr>
        <w:t>)</w:t>
      </w:r>
      <w:r w:rsidRPr="00D22838">
        <w:rPr>
          <w:rFonts w:ascii="Arial" w:hAnsi="Arial" w:cs="Arial"/>
          <w:sz w:val="22"/>
          <w:szCs w:val="22"/>
        </w:rPr>
        <w:t>,</w:t>
      </w:r>
      <w:r w:rsidRPr="00D22838">
        <w:rPr>
          <w:rFonts w:ascii="Arial" w:hAnsi="Arial" w:cs="Arial"/>
          <w:b/>
          <w:sz w:val="22"/>
          <w:szCs w:val="22"/>
        </w:rPr>
        <w:t xml:space="preserve"> </w:t>
      </w:r>
      <w:r w:rsidRPr="00D22838">
        <w:rPr>
          <w:rFonts w:ascii="Arial" w:hAnsi="Arial" w:cs="Arial"/>
          <w:sz w:val="22"/>
          <w:szCs w:val="22"/>
        </w:rPr>
        <w:t>realizované Objednatelem dle zákona č. 134/2016 Sb., o zadávání veřejných zakázek, ve znění pozdějších předpisů</w:t>
      </w:r>
      <w:r w:rsidR="0030468F" w:rsidRPr="00D22838">
        <w:rPr>
          <w:rFonts w:ascii="Arial" w:hAnsi="Arial" w:cs="Arial"/>
          <w:sz w:val="22"/>
          <w:szCs w:val="22"/>
        </w:rPr>
        <w:t xml:space="preserve"> (dále jen „ZZVZ“)</w:t>
      </w:r>
      <w:r w:rsidRPr="00D22838">
        <w:rPr>
          <w:rFonts w:ascii="Arial" w:hAnsi="Arial" w:cs="Arial"/>
          <w:sz w:val="22"/>
          <w:szCs w:val="22"/>
        </w:rPr>
        <w:t xml:space="preserve">, s cílem uzavřít předmětnou </w:t>
      </w:r>
      <w:r w:rsidR="00E07A27">
        <w:rPr>
          <w:rFonts w:ascii="Arial" w:hAnsi="Arial" w:cs="Arial"/>
          <w:sz w:val="22"/>
          <w:szCs w:val="22"/>
        </w:rPr>
        <w:t>Dohodu</w:t>
      </w:r>
      <w:r w:rsidR="00E07A27" w:rsidRPr="00D22838">
        <w:rPr>
          <w:rFonts w:ascii="Arial" w:hAnsi="Arial" w:cs="Arial"/>
          <w:sz w:val="22"/>
          <w:szCs w:val="22"/>
        </w:rPr>
        <w:t xml:space="preserve"> </w:t>
      </w:r>
      <w:r w:rsidRPr="00D22838">
        <w:rPr>
          <w:rFonts w:ascii="Arial" w:hAnsi="Arial" w:cs="Arial"/>
          <w:sz w:val="22"/>
          <w:szCs w:val="22"/>
        </w:rPr>
        <w:t xml:space="preserve">s vybraným Dodavatelem. </w:t>
      </w:r>
    </w:p>
    <w:p w14:paraId="4488D13C" w14:textId="77777777" w:rsidR="00A55998" w:rsidRPr="00D22838" w:rsidRDefault="00A55998" w:rsidP="00907514">
      <w:pPr>
        <w:widowControl w:val="0"/>
        <w:autoSpaceDE w:val="0"/>
        <w:autoSpaceDN w:val="0"/>
        <w:adjustRightInd w:val="0"/>
        <w:jc w:val="center"/>
        <w:rPr>
          <w:rFonts w:ascii="Arial" w:hAnsi="Arial" w:cs="Arial"/>
          <w:sz w:val="22"/>
          <w:szCs w:val="22"/>
        </w:rPr>
      </w:pPr>
    </w:p>
    <w:p w14:paraId="7C58918F" w14:textId="05CD32D4" w:rsidR="00510A96" w:rsidRPr="00D22838" w:rsidRDefault="00510A96" w:rsidP="00907514">
      <w:pPr>
        <w:widowControl w:val="0"/>
        <w:autoSpaceDE w:val="0"/>
        <w:autoSpaceDN w:val="0"/>
        <w:adjustRightInd w:val="0"/>
        <w:jc w:val="center"/>
        <w:rPr>
          <w:rFonts w:ascii="Arial" w:hAnsi="Arial" w:cs="Arial"/>
          <w:sz w:val="22"/>
          <w:szCs w:val="22"/>
        </w:rPr>
      </w:pPr>
    </w:p>
    <w:p w14:paraId="7F2AFA5F" w14:textId="2AA77601" w:rsidR="00907514" w:rsidRPr="00D22838" w:rsidRDefault="00510A96" w:rsidP="00266804">
      <w:pPr>
        <w:widowControl w:val="0"/>
        <w:autoSpaceDE w:val="0"/>
        <w:autoSpaceDN w:val="0"/>
        <w:adjustRightInd w:val="0"/>
        <w:spacing w:before="240"/>
        <w:jc w:val="center"/>
        <w:rPr>
          <w:rFonts w:ascii="Arial" w:hAnsi="Arial" w:cs="Arial"/>
          <w:b/>
          <w:sz w:val="22"/>
          <w:szCs w:val="22"/>
        </w:rPr>
      </w:pPr>
      <w:r w:rsidRPr="00D22838">
        <w:rPr>
          <w:rFonts w:ascii="Arial" w:hAnsi="Arial" w:cs="Arial"/>
          <w:b/>
          <w:sz w:val="22"/>
          <w:szCs w:val="22"/>
        </w:rPr>
        <w:t>I.</w:t>
      </w:r>
    </w:p>
    <w:p w14:paraId="2ED41575" w14:textId="28EAAADF" w:rsidR="00907514" w:rsidRPr="00D22838" w:rsidRDefault="0017698A" w:rsidP="00510A96">
      <w:pPr>
        <w:widowControl w:val="0"/>
        <w:autoSpaceDE w:val="0"/>
        <w:autoSpaceDN w:val="0"/>
        <w:adjustRightInd w:val="0"/>
        <w:spacing w:after="120" w:line="240" w:lineRule="atLeast"/>
        <w:jc w:val="center"/>
        <w:rPr>
          <w:rFonts w:ascii="Arial" w:hAnsi="Arial" w:cs="Arial"/>
          <w:sz w:val="22"/>
          <w:szCs w:val="22"/>
        </w:rPr>
      </w:pPr>
      <w:r w:rsidRPr="00D22838">
        <w:rPr>
          <w:rFonts w:ascii="Arial" w:hAnsi="Arial" w:cs="Arial"/>
          <w:b/>
          <w:sz w:val="22"/>
          <w:szCs w:val="22"/>
          <w:u w:val="single"/>
        </w:rPr>
        <w:t xml:space="preserve">Předmět </w:t>
      </w:r>
      <w:r w:rsidR="003720C4" w:rsidRPr="00D22838">
        <w:rPr>
          <w:rFonts w:ascii="Arial" w:hAnsi="Arial" w:cs="Arial"/>
          <w:b/>
          <w:sz w:val="22"/>
          <w:szCs w:val="22"/>
          <w:u w:val="single"/>
        </w:rPr>
        <w:t>D</w:t>
      </w:r>
      <w:r w:rsidRPr="00D22838">
        <w:rPr>
          <w:rFonts w:ascii="Arial" w:hAnsi="Arial" w:cs="Arial"/>
          <w:b/>
          <w:sz w:val="22"/>
          <w:szCs w:val="22"/>
          <w:u w:val="single"/>
        </w:rPr>
        <w:t>ohody</w:t>
      </w:r>
    </w:p>
    <w:p w14:paraId="71519CB1" w14:textId="5381CF5B" w:rsidR="00FB0FE0" w:rsidRPr="00D22838" w:rsidRDefault="00FB0FE0" w:rsidP="00540525">
      <w:pPr>
        <w:spacing w:after="120"/>
        <w:ind w:left="-357"/>
        <w:jc w:val="both"/>
        <w:rPr>
          <w:rFonts w:ascii="Arial" w:hAnsi="Arial" w:cs="Arial"/>
          <w:sz w:val="22"/>
          <w:szCs w:val="22"/>
        </w:rPr>
      </w:pPr>
      <w:r w:rsidRPr="00D22838">
        <w:rPr>
          <w:rFonts w:ascii="Arial" w:hAnsi="Arial" w:cs="Arial"/>
          <w:sz w:val="22"/>
          <w:szCs w:val="22"/>
        </w:rPr>
        <w:t xml:space="preserve">Předmětem </w:t>
      </w:r>
      <w:r w:rsidR="00483EB9" w:rsidRPr="00D22838">
        <w:rPr>
          <w:rFonts w:ascii="Arial" w:hAnsi="Arial" w:cs="Arial"/>
          <w:sz w:val="22"/>
          <w:szCs w:val="22"/>
        </w:rPr>
        <w:t>D</w:t>
      </w:r>
      <w:r w:rsidRPr="00D22838">
        <w:rPr>
          <w:rFonts w:ascii="Arial" w:hAnsi="Arial" w:cs="Arial"/>
          <w:sz w:val="22"/>
          <w:szCs w:val="22"/>
        </w:rPr>
        <w:t>ohody je</w:t>
      </w:r>
    </w:p>
    <w:p w14:paraId="77F35A1B" w14:textId="486C6139" w:rsidR="00F46C46" w:rsidRDefault="00F46C46" w:rsidP="009D714A">
      <w:pPr>
        <w:pStyle w:val="Odstavecseseznamem"/>
        <w:numPr>
          <w:ilvl w:val="0"/>
          <w:numId w:val="4"/>
        </w:numPr>
        <w:spacing w:after="200"/>
        <w:jc w:val="both"/>
        <w:rPr>
          <w:rFonts w:ascii="Arial" w:hAnsi="Arial" w:cs="Arial"/>
          <w:sz w:val="22"/>
          <w:szCs w:val="22"/>
        </w:rPr>
      </w:pPr>
      <w:r w:rsidRPr="00F46C46">
        <w:rPr>
          <w:rFonts w:ascii="Arial" w:hAnsi="Arial" w:cs="Arial"/>
          <w:sz w:val="22"/>
          <w:szCs w:val="22"/>
        </w:rPr>
        <w:t>Zajištění techn</w:t>
      </w:r>
      <w:r>
        <w:rPr>
          <w:rFonts w:ascii="Arial" w:hAnsi="Arial" w:cs="Arial"/>
          <w:sz w:val="22"/>
          <w:szCs w:val="22"/>
        </w:rPr>
        <w:t>ické</w:t>
      </w:r>
      <w:r w:rsidRPr="00F46C46">
        <w:rPr>
          <w:rFonts w:ascii="Arial" w:hAnsi="Arial" w:cs="Arial"/>
          <w:sz w:val="22"/>
          <w:szCs w:val="22"/>
        </w:rPr>
        <w:t xml:space="preserve"> a systémové podpory hardware IBM (servery, disková pole, pásková knihovna) a Intel serverů Fujitsu a instalovaných systémů:</w:t>
      </w:r>
    </w:p>
    <w:p w14:paraId="7B49DE33" w14:textId="77777777" w:rsidR="00F46C46" w:rsidRPr="00F46C46" w:rsidRDefault="00F46C46" w:rsidP="00F46C46">
      <w:pPr>
        <w:pStyle w:val="Odstavecseseznamem"/>
        <w:numPr>
          <w:ilvl w:val="0"/>
          <w:numId w:val="22"/>
        </w:numPr>
        <w:spacing w:after="200"/>
        <w:rPr>
          <w:rFonts w:ascii="Arial" w:hAnsi="Arial" w:cs="Arial"/>
          <w:sz w:val="22"/>
          <w:szCs w:val="22"/>
        </w:rPr>
      </w:pPr>
      <w:r w:rsidRPr="00F46C46">
        <w:rPr>
          <w:rFonts w:ascii="Arial" w:hAnsi="Arial" w:cs="Arial"/>
          <w:sz w:val="22"/>
          <w:szCs w:val="22"/>
        </w:rPr>
        <w:t>Havarijní pohotovost</w:t>
      </w:r>
    </w:p>
    <w:p w14:paraId="5BDE4C3A" w14:textId="77777777" w:rsidR="00F46C46" w:rsidRPr="00F46C46" w:rsidRDefault="00F46C46" w:rsidP="00F46C46">
      <w:pPr>
        <w:pStyle w:val="Odstavecseseznamem"/>
        <w:numPr>
          <w:ilvl w:val="0"/>
          <w:numId w:val="22"/>
        </w:numPr>
        <w:spacing w:after="200"/>
        <w:rPr>
          <w:rFonts w:ascii="Arial" w:hAnsi="Arial" w:cs="Arial"/>
          <w:sz w:val="22"/>
          <w:szCs w:val="22"/>
        </w:rPr>
      </w:pPr>
      <w:r w:rsidRPr="00F46C46">
        <w:rPr>
          <w:rFonts w:ascii="Arial" w:hAnsi="Arial" w:cs="Arial"/>
          <w:sz w:val="22"/>
          <w:szCs w:val="22"/>
        </w:rPr>
        <w:t>Profylaxe</w:t>
      </w:r>
    </w:p>
    <w:p w14:paraId="7A1F3717" w14:textId="77777777" w:rsidR="00F46C46" w:rsidRPr="00F46C46" w:rsidRDefault="00F46C46" w:rsidP="00F46C46">
      <w:pPr>
        <w:pStyle w:val="Odstavecseseznamem"/>
        <w:numPr>
          <w:ilvl w:val="0"/>
          <w:numId w:val="22"/>
        </w:numPr>
        <w:spacing w:after="200"/>
        <w:rPr>
          <w:rFonts w:ascii="Arial" w:hAnsi="Arial" w:cs="Arial"/>
          <w:sz w:val="22"/>
          <w:szCs w:val="22"/>
        </w:rPr>
      </w:pPr>
      <w:r w:rsidRPr="00F46C46">
        <w:rPr>
          <w:rFonts w:ascii="Arial" w:hAnsi="Arial" w:cs="Arial"/>
          <w:sz w:val="22"/>
          <w:szCs w:val="22"/>
        </w:rPr>
        <w:t>Hardware podpora</w:t>
      </w:r>
    </w:p>
    <w:p w14:paraId="1A916E62" w14:textId="77777777" w:rsidR="00F46C46" w:rsidRPr="00F46C46" w:rsidRDefault="00F46C46" w:rsidP="00F46C46">
      <w:pPr>
        <w:pStyle w:val="Odstavecseseznamem"/>
        <w:numPr>
          <w:ilvl w:val="0"/>
          <w:numId w:val="23"/>
        </w:numPr>
        <w:spacing w:after="200"/>
        <w:rPr>
          <w:rFonts w:ascii="Arial" w:hAnsi="Arial" w:cs="Arial"/>
          <w:sz w:val="22"/>
          <w:szCs w:val="22"/>
        </w:rPr>
      </w:pPr>
      <w:proofErr w:type="spellStart"/>
      <w:r w:rsidRPr="00F46C46">
        <w:rPr>
          <w:rFonts w:ascii="Arial" w:hAnsi="Arial" w:cs="Arial"/>
          <w:sz w:val="22"/>
          <w:szCs w:val="22"/>
        </w:rPr>
        <w:t>Power</w:t>
      </w:r>
      <w:proofErr w:type="spellEnd"/>
      <w:r w:rsidRPr="00F46C46">
        <w:rPr>
          <w:rFonts w:ascii="Arial" w:hAnsi="Arial" w:cs="Arial"/>
          <w:sz w:val="22"/>
          <w:szCs w:val="22"/>
        </w:rPr>
        <w:t xml:space="preserve"> servery IBM</w:t>
      </w:r>
    </w:p>
    <w:p w14:paraId="58447759" w14:textId="77777777" w:rsidR="00F46C46" w:rsidRPr="00F46C46" w:rsidRDefault="00F46C46" w:rsidP="00F46C46">
      <w:pPr>
        <w:pStyle w:val="Odstavecseseznamem"/>
        <w:numPr>
          <w:ilvl w:val="0"/>
          <w:numId w:val="23"/>
        </w:numPr>
        <w:spacing w:after="200"/>
        <w:rPr>
          <w:rFonts w:ascii="Arial" w:hAnsi="Arial" w:cs="Arial"/>
          <w:sz w:val="22"/>
          <w:szCs w:val="22"/>
        </w:rPr>
      </w:pPr>
      <w:r w:rsidRPr="00F46C46">
        <w:rPr>
          <w:rFonts w:ascii="Arial" w:hAnsi="Arial" w:cs="Arial"/>
          <w:sz w:val="22"/>
          <w:szCs w:val="22"/>
        </w:rPr>
        <w:t>Disková pole IBM</w:t>
      </w:r>
    </w:p>
    <w:p w14:paraId="55A371B0" w14:textId="77777777" w:rsidR="00F46C46" w:rsidRPr="00F46C46" w:rsidRDefault="00F46C46" w:rsidP="00F46C46">
      <w:pPr>
        <w:pStyle w:val="Odstavecseseznamem"/>
        <w:numPr>
          <w:ilvl w:val="0"/>
          <w:numId w:val="23"/>
        </w:numPr>
        <w:spacing w:after="200"/>
        <w:rPr>
          <w:rFonts w:ascii="Arial" w:hAnsi="Arial" w:cs="Arial"/>
          <w:sz w:val="22"/>
          <w:szCs w:val="22"/>
        </w:rPr>
      </w:pPr>
      <w:r w:rsidRPr="00F46C46">
        <w:rPr>
          <w:rFonts w:ascii="Arial" w:hAnsi="Arial" w:cs="Arial"/>
          <w:sz w:val="22"/>
          <w:szCs w:val="22"/>
        </w:rPr>
        <w:t>Pásková robotika IBM</w:t>
      </w:r>
    </w:p>
    <w:p w14:paraId="7A4D5D67" w14:textId="77777777" w:rsidR="00F46C46" w:rsidRPr="00F46C46" w:rsidRDefault="00F46C46" w:rsidP="00F46C46">
      <w:pPr>
        <w:pStyle w:val="Odstavecseseznamem"/>
        <w:numPr>
          <w:ilvl w:val="0"/>
          <w:numId w:val="23"/>
        </w:numPr>
        <w:spacing w:after="200"/>
        <w:rPr>
          <w:rFonts w:ascii="Arial" w:hAnsi="Arial" w:cs="Arial"/>
          <w:sz w:val="22"/>
          <w:szCs w:val="22"/>
        </w:rPr>
      </w:pPr>
      <w:r w:rsidRPr="00F46C46">
        <w:rPr>
          <w:rFonts w:ascii="Arial" w:hAnsi="Arial" w:cs="Arial"/>
          <w:sz w:val="22"/>
          <w:szCs w:val="22"/>
        </w:rPr>
        <w:t>SAN přepínače IBM</w:t>
      </w:r>
    </w:p>
    <w:p w14:paraId="05052AEA" w14:textId="77777777" w:rsidR="00F46C46" w:rsidRPr="00F46C46" w:rsidRDefault="00F46C46" w:rsidP="00F46C46">
      <w:pPr>
        <w:pStyle w:val="Odstavecseseznamem"/>
        <w:numPr>
          <w:ilvl w:val="0"/>
          <w:numId w:val="23"/>
        </w:numPr>
        <w:spacing w:after="200"/>
        <w:rPr>
          <w:rFonts w:ascii="Arial" w:hAnsi="Arial" w:cs="Arial"/>
          <w:sz w:val="22"/>
          <w:szCs w:val="22"/>
        </w:rPr>
      </w:pPr>
      <w:r w:rsidRPr="00F46C46">
        <w:rPr>
          <w:rFonts w:ascii="Arial" w:hAnsi="Arial" w:cs="Arial"/>
          <w:sz w:val="22"/>
          <w:szCs w:val="22"/>
        </w:rPr>
        <w:t>Intel servery Fujitsu</w:t>
      </w:r>
    </w:p>
    <w:p w14:paraId="324BF51A" w14:textId="77777777" w:rsidR="00F46C46" w:rsidRPr="00F46C46" w:rsidRDefault="00F46C46" w:rsidP="00F46C46">
      <w:pPr>
        <w:pStyle w:val="Odstavecseseznamem"/>
        <w:numPr>
          <w:ilvl w:val="0"/>
          <w:numId w:val="22"/>
        </w:numPr>
        <w:spacing w:after="200"/>
        <w:rPr>
          <w:rFonts w:ascii="Arial" w:hAnsi="Arial" w:cs="Arial"/>
          <w:sz w:val="22"/>
          <w:szCs w:val="22"/>
        </w:rPr>
      </w:pPr>
      <w:r w:rsidRPr="00F46C46">
        <w:rPr>
          <w:rFonts w:ascii="Arial" w:hAnsi="Arial" w:cs="Arial"/>
          <w:sz w:val="22"/>
          <w:szCs w:val="22"/>
        </w:rPr>
        <w:t>Systémová podpora</w:t>
      </w:r>
    </w:p>
    <w:p w14:paraId="2706B2B9" w14:textId="77777777" w:rsidR="00F46C46" w:rsidRPr="00F46C46" w:rsidRDefault="00F46C46" w:rsidP="00F46C46">
      <w:pPr>
        <w:pStyle w:val="Odstavecseseznamem"/>
        <w:numPr>
          <w:ilvl w:val="0"/>
          <w:numId w:val="24"/>
        </w:numPr>
        <w:spacing w:after="200"/>
        <w:rPr>
          <w:rFonts w:ascii="Arial" w:hAnsi="Arial" w:cs="Arial"/>
          <w:sz w:val="22"/>
          <w:szCs w:val="22"/>
        </w:rPr>
      </w:pPr>
      <w:r w:rsidRPr="00F46C46">
        <w:rPr>
          <w:rFonts w:ascii="Arial" w:hAnsi="Arial" w:cs="Arial"/>
          <w:sz w:val="22"/>
          <w:szCs w:val="22"/>
        </w:rPr>
        <w:t>IBM AIX</w:t>
      </w:r>
    </w:p>
    <w:p w14:paraId="47033999" w14:textId="77777777" w:rsidR="00F46C46" w:rsidRPr="00F46C46" w:rsidRDefault="00F46C46" w:rsidP="00F46C46">
      <w:pPr>
        <w:pStyle w:val="Odstavecseseznamem"/>
        <w:numPr>
          <w:ilvl w:val="0"/>
          <w:numId w:val="24"/>
        </w:numPr>
        <w:spacing w:after="200"/>
        <w:rPr>
          <w:rFonts w:ascii="Arial" w:hAnsi="Arial" w:cs="Arial"/>
          <w:sz w:val="22"/>
          <w:szCs w:val="22"/>
        </w:rPr>
      </w:pPr>
      <w:r w:rsidRPr="00F46C46">
        <w:rPr>
          <w:rFonts w:ascii="Arial" w:hAnsi="Arial" w:cs="Arial"/>
          <w:sz w:val="22"/>
          <w:szCs w:val="22"/>
        </w:rPr>
        <w:t>Microsoft Hyper-V Server</w:t>
      </w:r>
    </w:p>
    <w:p w14:paraId="61C58CFA" w14:textId="77777777" w:rsidR="00F46C46" w:rsidRPr="00F46C46" w:rsidRDefault="00F46C46" w:rsidP="00F46C46">
      <w:pPr>
        <w:pStyle w:val="Odstavecseseznamem"/>
        <w:numPr>
          <w:ilvl w:val="0"/>
          <w:numId w:val="22"/>
        </w:numPr>
        <w:spacing w:after="200"/>
        <w:rPr>
          <w:rFonts w:ascii="Arial" w:hAnsi="Arial" w:cs="Arial"/>
          <w:sz w:val="22"/>
          <w:szCs w:val="22"/>
        </w:rPr>
      </w:pPr>
      <w:r w:rsidRPr="00F46C46">
        <w:rPr>
          <w:rFonts w:ascii="Arial" w:hAnsi="Arial" w:cs="Arial"/>
          <w:sz w:val="22"/>
          <w:szCs w:val="22"/>
        </w:rPr>
        <w:t>Software podpora</w:t>
      </w:r>
    </w:p>
    <w:p w14:paraId="72BE5053" w14:textId="77777777" w:rsidR="00F46C46" w:rsidRPr="00F46C46" w:rsidRDefault="00F46C46" w:rsidP="00F46C46">
      <w:pPr>
        <w:pStyle w:val="Odstavecseseznamem"/>
        <w:numPr>
          <w:ilvl w:val="0"/>
          <w:numId w:val="25"/>
        </w:numPr>
        <w:spacing w:after="200"/>
        <w:rPr>
          <w:rFonts w:ascii="Arial" w:hAnsi="Arial" w:cs="Arial"/>
          <w:sz w:val="22"/>
          <w:szCs w:val="22"/>
        </w:rPr>
      </w:pPr>
      <w:r w:rsidRPr="00F46C46">
        <w:rPr>
          <w:rFonts w:ascii="Arial" w:hAnsi="Arial" w:cs="Arial"/>
          <w:sz w:val="22"/>
          <w:szCs w:val="22"/>
        </w:rPr>
        <w:t xml:space="preserve">IBM </w:t>
      </w:r>
      <w:proofErr w:type="spellStart"/>
      <w:r w:rsidRPr="00F46C46">
        <w:rPr>
          <w:rFonts w:ascii="Arial" w:hAnsi="Arial" w:cs="Arial"/>
          <w:sz w:val="22"/>
          <w:szCs w:val="22"/>
        </w:rPr>
        <w:t>Spectrum</w:t>
      </w:r>
      <w:proofErr w:type="spellEnd"/>
      <w:r w:rsidRPr="00F46C46">
        <w:rPr>
          <w:rFonts w:ascii="Arial" w:hAnsi="Arial" w:cs="Arial"/>
          <w:sz w:val="22"/>
          <w:szCs w:val="22"/>
        </w:rPr>
        <w:t xml:space="preserve"> </w:t>
      </w:r>
      <w:proofErr w:type="spellStart"/>
      <w:r w:rsidRPr="00F46C46">
        <w:rPr>
          <w:rFonts w:ascii="Arial" w:hAnsi="Arial" w:cs="Arial"/>
          <w:sz w:val="22"/>
          <w:szCs w:val="22"/>
        </w:rPr>
        <w:t>scale</w:t>
      </w:r>
      <w:proofErr w:type="spellEnd"/>
    </w:p>
    <w:p w14:paraId="0A1C6383" w14:textId="77777777" w:rsidR="00F46C46" w:rsidRPr="00F46C46" w:rsidRDefault="00F46C46" w:rsidP="00F46C46">
      <w:pPr>
        <w:pStyle w:val="Odstavecseseznamem"/>
        <w:numPr>
          <w:ilvl w:val="0"/>
          <w:numId w:val="25"/>
        </w:numPr>
        <w:spacing w:after="200"/>
        <w:rPr>
          <w:rFonts w:ascii="Arial" w:hAnsi="Arial" w:cs="Arial"/>
          <w:sz w:val="22"/>
          <w:szCs w:val="22"/>
        </w:rPr>
      </w:pPr>
      <w:r w:rsidRPr="00F46C46">
        <w:rPr>
          <w:rFonts w:ascii="Arial" w:hAnsi="Arial" w:cs="Arial"/>
          <w:sz w:val="22"/>
          <w:szCs w:val="22"/>
        </w:rPr>
        <w:t xml:space="preserve">IBM </w:t>
      </w:r>
      <w:proofErr w:type="spellStart"/>
      <w:r w:rsidRPr="00F46C46">
        <w:rPr>
          <w:rFonts w:ascii="Arial" w:hAnsi="Arial" w:cs="Arial"/>
          <w:sz w:val="22"/>
          <w:szCs w:val="22"/>
        </w:rPr>
        <w:t>Spectrum</w:t>
      </w:r>
      <w:proofErr w:type="spellEnd"/>
      <w:r w:rsidRPr="00F46C46">
        <w:rPr>
          <w:rFonts w:ascii="Arial" w:hAnsi="Arial" w:cs="Arial"/>
          <w:sz w:val="22"/>
          <w:szCs w:val="22"/>
        </w:rPr>
        <w:t xml:space="preserve"> </w:t>
      </w:r>
      <w:proofErr w:type="spellStart"/>
      <w:r w:rsidRPr="00F46C46">
        <w:rPr>
          <w:rFonts w:ascii="Arial" w:hAnsi="Arial" w:cs="Arial"/>
          <w:sz w:val="22"/>
          <w:szCs w:val="22"/>
        </w:rPr>
        <w:t>protect</w:t>
      </w:r>
      <w:proofErr w:type="spellEnd"/>
    </w:p>
    <w:p w14:paraId="7E2246AB" w14:textId="77777777" w:rsidR="00F46C46" w:rsidRPr="00F46C46" w:rsidRDefault="00F46C46" w:rsidP="00F46C46">
      <w:pPr>
        <w:pStyle w:val="Odstavecseseznamem"/>
        <w:numPr>
          <w:ilvl w:val="0"/>
          <w:numId w:val="25"/>
        </w:numPr>
        <w:spacing w:after="200"/>
        <w:rPr>
          <w:rFonts w:ascii="Arial" w:hAnsi="Arial" w:cs="Arial"/>
          <w:sz w:val="22"/>
          <w:szCs w:val="22"/>
        </w:rPr>
      </w:pPr>
      <w:r w:rsidRPr="00F46C46">
        <w:rPr>
          <w:rFonts w:ascii="Arial" w:hAnsi="Arial" w:cs="Arial"/>
          <w:sz w:val="22"/>
          <w:szCs w:val="22"/>
        </w:rPr>
        <w:t>IBM Informix</w:t>
      </w:r>
    </w:p>
    <w:p w14:paraId="03FE032A" w14:textId="77777777" w:rsidR="00F46C46" w:rsidRPr="00F46C46" w:rsidRDefault="00F46C46" w:rsidP="00F46C46">
      <w:pPr>
        <w:pStyle w:val="Odstavecseseznamem"/>
        <w:numPr>
          <w:ilvl w:val="0"/>
          <w:numId w:val="25"/>
        </w:numPr>
        <w:spacing w:after="200"/>
        <w:rPr>
          <w:rFonts w:ascii="Arial" w:hAnsi="Arial" w:cs="Arial"/>
          <w:sz w:val="22"/>
          <w:szCs w:val="22"/>
        </w:rPr>
      </w:pPr>
      <w:r w:rsidRPr="00F46C46">
        <w:rPr>
          <w:rFonts w:ascii="Arial" w:hAnsi="Arial" w:cs="Arial"/>
          <w:sz w:val="22"/>
          <w:szCs w:val="22"/>
        </w:rPr>
        <w:t xml:space="preserve">Hyper-V </w:t>
      </w:r>
      <w:proofErr w:type="spellStart"/>
      <w:r w:rsidRPr="00F46C46">
        <w:rPr>
          <w:rFonts w:ascii="Arial" w:hAnsi="Arial" w:cs="Arial"/>
          <w:sz w:val="22"/>
          <w:szCs w:val="22"/>
        </w:rPr>
        <w:t>Failover</w:t>
      </w:r>
      <w:proofErr w:type="spellEnd"/>
      <w:r w:rsidRPr="00F46C46">
        <w:rPr>
          <w:rFonts w:ascii="Arial" w:hAnsi="Arial" w:cs="Arial"/>
          <w:sz w:val="22"/>
          <w:szCs w:val="22"/>
        </w:rPr>
        <w:t xml:space="preserve"> Cluster</w:t>
      </w:r>
    </w:p>
    <w:p w14:paraId="42CC0B3E" w14:textId="77777777" w:rsidR="00F46C46" w:rsidRPr="00F46C46" w:rsidRDefault="00F46C46" w:rsidP="00F46C46">
      <w:pPr>
        <w:pStyle w:val="Odstavecseseznamem"/>
        <w:numPr>
          <w:ilvl w:val="0"/>
          <w:numId w:val="22"/>
        </w:numPr>
        <w:spacing w:after="200"/>
        <w:rPr>
          <w:rFonts w:ascii="Arial" w:hAnsi="Arial" w:cs="Arial"/>
          <w:sz w:val="22"/>
          <w:szCs w:val="22"/>
        </w:rPr>
      </w:pPr>
      <w:r w:rsidRPr="00F46C46">
        <w:rPr>
          <w:rFonts w:ascii="Arial" w:hAnsi="Arial" w:cs="Arial"/>
          <w:sz w:val="22"/>
          <w:szCs w:val="22"/>
        </w:rPr>
        <w:t>Konfigurační, analytická a rozvojová podpora</w:t>
      </w:r>
    </w:p>
    <w:p w14:paraId="28D83113" w14:textId="77777777" w:rsidR="00F46C46" w:rsidRPr="00F46C46" w:rsidRDefault="00F46C46" w:rsidP="00F46C46">
      <w:pPr>
        <w:pStyle w:val="Odstavecseseznamem"/>
        <w:numPr>
          <w:ilvl w:val="0"/>
          <w:numId w:val="22"/>
        </w:numPr>
        <w:spacing w:after="200"/>
        <w:rPr>
          <w:rFonts w:ascii="Arial" w:hAnsi="Arial" w:cs="Arial"/>
          <w:sz w:val="22"/>
          <w:szCs w:val="22"/>
        </w:rPr>
      </w:pPr>
      <w:r w:rsidRPr="00F46C46">
        <w:rPr>
          <w:rFonts w:ascii="Arial" w:hAnsi="Arial" w:cs="Arial"/>
          <w:sz w:val="22"/>
          <w:szCs w:val="22"/>
        </w:rPr>
        <w:t xml:space="preserve">Zajištění HW a SW podpory výrobce (HW a SW </w:t>
      </w:r>
      <w:proofErr w:type="spellStart"/>
      <w:r w:rsidRPr="00F46C46">
        <w:rPr>
          <w:rFonts w:ascii="Arial" w:hAnsi="Arial" w:cs="Arial"/>
          <w:sz w:val="22"/>
          <w:szCs w:val="22"/>
        </w:rPr>
        <w:t>maintenance</w:t>
      </w:r>
      <w:proofErr w:type="spellEnd"/>
      <w:r w:rsidRPr="00F46C46">
        <w:rPr>
          <w:rFonts w:ascii="Arial" w:hAnsi="Arial" w:cs="Arial"/>
          <w:sz w:val="22"/>
          <w:szCs w:val="22"/>
        </w:rPr>
        <w:t>)</w:t>
      </w:r>
    </w:p>
    <w:p w14:paraId="03007D84" w14:textId="77777777" w:rsidR="00F46C46" w:rsidRPr="00F46C46" w:rsidRDefault="00F46C46" w:rsidP="00F46C46">
      <w:pPr>
        <w:pStyle w:val="Odstavecseseznamem"/>
        <w:spacing w:after="200"/>
        <w:ind w:left="360"/>
        <w:jc w:val="both"/>
        <w:rPr>
          <w:rFonts w:ascii="Arial" w:hAnsi="Arial" w:cs="Arial"/>
          <w:sz w:val="22"/>
          <w:szCs w:val="22"/>
        </w:rPr>
      </w:pPr>
    </w:p>
    <w:p w14:paraId="461E14DE" w14:textId="59A6BB0C" w:rsidR="00FB0FE0" w:rsidRPr="00D22838" w:rsidRDefault="00516D2D" w:rsidP="00F43DFA">
      <w:pPr>
        <w:pStyle w:val="Odstavecseseznamem"/>
        <w:widowControl w:val="0"/>
        <w:numPr>
          <w:ilvl w:val="0"/>
          <w:numId w:val="4"/>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Podrobná specifikace služeb</w:t>
      </w:r>
      <w:r w:rsidR="00FB0FE0" w:rsidRPr="00D22838">
        <w:rPr>
          <w:rFonts w:ascii="Arial" w:hAnsi="Arial" w:cs="Arial"/>
          <w:sz w:val="22"/>
          <w:szCs w:val="22"/>
        </w:rPr>
        <w:t xml:space="preserve"> „</w:t>
      </w:r>
      <w:r w:rsidR="00F43DFA" w:rsidRPr="00F43DFA">
        <w:rPr>
          <w:rFonts w:ascii="Arial" w:hAnsi="Arial" w:cs="Arial"/>
          <w:sz w:val="22"/>
          <w:szCs w:val="22"/>
        </w:rPr>
        <w:t>Zajištění technologické podpory HW IBM a Intel na 4 roky</w:t>
      </w:r>
      <w:r w:rsidR="00FB0FE0" w:rsidRPr="00D22838">
        <w:rPr>
          <w:rFonts w:ascii="Arial" w:hAnsi="Arial" w:cs="Arial"/>
          <w:sz w:val="22"/>
          <w:szCs w:val="22"/>
        </w:rPr>
        <w:t xml:space="preserve">“ </w:t>
      </w:r>
      <w:r w:rsidRPr="00D22838">
        <w:rPr>
          <w:rFonts w:ascii="Arial" w:hAnsi="Arial" w:cs="Arial"/>
          <w:sz w:val="22"/>
          <w:szCs w:val="22"/>
        </w:rPr>
        <w:t>je uvedena</w:t>
      </w:r>
      <w:r w:rsidR="00FB0FE0" w:rsidRPr="00D22838">
        <w:rPr>
          <w:rFonts w:ascii="Arial" w:hAnsi="Arial" w:cs="Arial"/>
          <w:sz w:val="22"/>
          <w:szCs w:val="22"/>
        </w:rPr>
        <w:t xml:space="preserve"> v Příloze č. 1 </w:t>
      </w:r>
      <w:r w:rsidR="00DD7141" w:rsidRPr="00D22838">
        <w:rPr>
          <w:rFonts w:ascii="Arial" w:hAnsi="Arial" w:cs="Arial"/>
          <w:sz w:val="22"/>
          <w:szCs w:val="22"/>
        </w:rPr>
        <w:t>Dohody</w:t>
      </w:r>
      <w:r w:rsidR="00B86CC6" w:rsidRPr="00D22838">
        <w:rPr>
          <w:rFonts w:ascii="Arial" w:hAnsi="Arial" w:cs="Arial"/>
          <w:sz w:val="22"/>
          <w:szCs w:val="22"/>
        </w:rPr>
        <w:t xml:space="preserve"> – </w:t>
      </w:r>
      <w:r w:rsidR="00501346">
        <w:rPr>
          <w:rFonts w:ascii="Arial" w:hAnsi="Arial" w:cs="Arial"/>
          <w:sz w:val="22"/>
          <w:szCs w:val="22"/>
        </w:rPr>
        <w:t>Specifikace požadovaných</w:t>
      </w:r>
      <w:r w:rsidR="00B86CC6" w:rsidRPr="00D22838">
        <w:rPr>
          <w:rFonts w:ascii="Arial" w:hAnsi="Arial" w:cs="Arial"/>
          <w:sz w:val="22"/>
          <w:szCs w:val="22"/>
        </w:rPr>
        <w:t xml:space="preserve"> </w:t>
      </w:r>
      <w:r w:rsidR="00F43DFA">
        <w:rPr>
          <w:rFonts w:ascii="Arial" w:hAnsi="Arial" w:cs="Arial"/>
          <w:sz w:val="22"/>
          <w:szCs w:val="22"/>
        </w:rPr>
        <w:t>služeb</w:t>
      </w:r>
      <w:r w:rsidR="00DD7141" w:rsidRPr="00D22838">
        <w:rPr>
          <w:rFonts w:ascii="Arial" w:hAnsi="Arial" w:cs="Arial"/>
          <w:sz w:val="22"/>
          <w:szCs w:val="22"/>
        </w:rPr>
        <w:t>.</w:t>
      </w:r>
    </w:p>
    <w:p w14:paraId="503AE014" w14:textId="77777777" w:rsidR="00907514" w:rsidRPr="00D22838" w:rsidRDefault="00907514" w:rsidP="00266804">
      <w:pPr>
        <w:widowControl w:val="0"/>
        <w:autoSpaceDE w:val="0"/>
        <w:autoSpaceDN w:val="0"/>
        <w:adjustRightInd w:val="0"/>
        <w:spacing w:before="240"/>
        <w:jc w:val="center"/>
        <w:rPr>
          <w:rFonts w:ascii="Arial" w:hAnsi="Arial" w:cs="Arial"/>
          <w:b/>
          <w:sz w:val="22"/>
          <w:szCs w:val="22"/>
        </w:rPr>
      </w:pPr>
      <w:r w:rsidRPr="00D22838">
        <w:rPr>
          <w:rFonts w:ascii="Arial" w:hAnsi="Arial" w:cs="Arial"/>
          <w:b/>
          <w:sz w:val="22"/>
          <w:szCs w:val="22"/>
        </w:rPr>
        <w:t>II.</w:t>
      </w:r>
    </w:p>
    <w:p w14:paraId="7DB33548" w14:textId="77777777" w:rsidR="00907514" w:rsidRPr="00D22838" w:rsidRDefault="00907514" w:rsidP="00EF5132">
      <w:pPr>
        <w:widowControl w:val="0"/>
        <w:autoSpaceDE w:val="0"/>
        <w:autoSpaceDN w:val="0"/>
        <w:adjustRightInd w:val="0"/>
        <w:spacing w:after="240" w:line="240" w:lineRule="atLeast"/>
        <w:jc w:val="center"/>
        <w:rPr>
          <w:rFonts w:ascii="Arial" w:hAnsi="Arial" w:cs="Arial"/>
          <w:sz w:val="22"/>
          <w:szCs w:val="22"/>
        </w:rPr>
      </w:pPr>
      <w:r w:rsidRPr="00D22838">
        <w:rPr>
          <w:rFonts w:ascii="Arial" w:hAnsi="Arial" w:cs="Arial"/>
          <w:b/>
          <w:sz w:val="22"/>
          <w:szCs w:val="22"/>
          <w:u w:val="single"/>
        </w:rPr>
        <w:t xml:space="preserve">Doba </w:t>
      </w:r>
      <w:r w:rsidR="00401EBE" w:rsidRPr="00D22838">
        <w:rPr>
          <w:rFonts w:ascii="Arial" w:hAnsi="Arial" w:cs="Arial"/>
          <w:b/>
          <w:sz w:val="22"/>
          <w:szCs w:val="22"/>
          <w:u w:val="single"/>
        </w:rPr>
        <w:t xml:space="preserve">a místo </w:t>
      </w:r>
      <w:r w:rsidRPr="00D22838">
        <w:rPr>
          <w:rFonts w:ascii="Arial" w:hAnsi="Arial" w:cs="Arial"/>
          <w:b/>
          <w:sz w:val="22"/>
          <w:szCs w:val="22"/>
          <w:u w:val="single"/>
        </w:rPr>
        <w:t>plnění</w:t>
      </w:r>
    </w:p>
    <w:p w14:paraId="4FDB4A8A" w14:textId="62415E4D" w:rsidR="009A1D12" w:rsidRPr="00D22838" w:rsidRDefault="009A1D12" w:rsidP="009A1D12">
      <w:pPr>
        <w:pStyle w:val="Odstavecseseznamem"/>
        <w:widowControl w:val="0"/>
        <w:numPr>
          <w:ilvl w:val="0"/>
          <w:numId w:val="8"/>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Tato Dohoda se uzavírá na dobu určitou, a to na 48 měsíců </w:t>
      </w:r>
      <w:r w:rsidR="00711FD5">
        <w:rPr>
          <w:rFonts w:ascii="Arial" w:hAnsi="Arial" w:cs="Arial"/>
          <w:sz w:val="22"/>
          <w:szCs w:val="22"/>
        </w:rPr>
        <w:t>ode dne účinnosti Dohody.</w:t>
      </w:r>
    </w:p>
    <w:p w14:paraId="6B7AFDE1" w14:textId="013F3D31" w:rsidR="003F09CE" w:rsidRPr="00D22838" w:rsidRDefault="00F43DFA" w:rsidP="00F43DFA">
      <w:pPr>
        <w:pStyle w:val="Odstavecseseznamem"/>
        <w:widowControl w:val="0"/>
        <w:numPr>
          <w:ilvl w:val="0"/>
          <w:numId w:val="18"/>
        </w:numPr>
        <w:autoSpaceDE w:val="0"/>
        <w:autoSpaceDN w:val="0"/>
        <w:adjustRightInd w:val="0"/>
        <w:spacing w:before="240" w:after="120"/>
        <w:ind w:left="426" w:hanging="426"/>
        <w:contextualSpacing w:val="0"/>
        <w:jc w:val="both"/>
        <w:rPr>
          <w:rFonts w:ascii="Arial" w:hAnsi="Arial" w:cs="Arial"/>
          <w:sz w:val="22"/>
          <w:szCs w:val="22"/>
        </w:rPr>
      </w:pPr>
      <w:r w:rsidRPr="00F43DFA">
        <w:rPr>
          <w:rFonts w:ascii="Arial" w:hAnsi="Arial" w:cs="Arial"/>
          <w:sz w:val="22"/>
          <w:szCs w:val="22"/>
        </w:rPr>
        <w:t xml:space="preserve">Ústředí </w:t>
      </w:r>
      <w:proofErr w:type="spellStart"/>
      <w:r w:rsidRPr="00F43DFA">
        <w:rPr>
          <w:rFonts w:ascii="Arial" w:hAnsi="Arial" w:cs="Arial"/>
          <w:sz w:val="22"/>
          <w:szCs w:val="22"/>
        </w:rPr>
        <w:t>VoZP</w:t>
      </w:r>
      <w:proofErr w:type="spellEnd"/>
      <w:r w:rsidRPr="00F43DFA">
        <w:rPr>
          <w:rFonts w:ascii="Arial" w:hAnsi="Arial" w:cs="Arial"/>
          <w:sz w:val="22"/>
          <w:szCs w:val="22"/>
        </w:rPr>
        <w:t xml:space="preserve"> ČR, Drahobejlova 1404/4, 190 03 Praha 9 a DC Tower České radiokomunikace, a.s., Mahlerovy sady 1, Praha 3 nebo jakékoliv jiné místo určené v souladu s</w:t>
      </w:r>
      <w:r>
        <w:rPr>
          <w:rFonts w:ascii="Arial" w:hAnsi="Arial" w:cs="Arial"/>
          <w:sz w:val="22"/>
          <w:szCs w:val="22"/>
        </w:rPr>
        <w:t> touto Dohodou.</w:t>
      </w:r>
      <w:r w:rsidRPr="00F43DFA">
        <w:rPr>
          <w:rFonts w:ascii="Arial" w:hAnsi="Arial" w:cs="Arial"/>
          <w:sz w:val="22"/>
          <w:szCs w:val="22"/>
        </w:rPr>
        <w:t xml:space="preserve"> Dodavatel je oprávněn poskytovat služby, které mohou být poskytovány pomocí prostředků vzdáleného přístupu nebo obdobným dálkovým způsobem, mimo sídlo </w:t>
      </w:r>
      <w:r w:rsidR="004E0D16">
        <w:rPr>
          <w:rFonts w:ascii="Arial" w:hAnsi="Arial" w:cs="Arial"/>
          <w:sz w:val="22"/>
          <w:szCs w:val="22"/>
        </w:rPr>
        <w:t>O</w:t>
      </w:r>
      <w:r>
        <w:rPr>
          <w:rFonts w:ascii="Arial" w:hAnsi="Arial" w:cs="Arial"/>
          <w:sz w:val="22"/>
          <w:szCs w:val="22"/>
        </w:rPr>
        <w:t>bjednatele.</w:t>
      </w:r>
    </w:p>
    <w:p w14:paraId="4F6CBBE0" w14:textId="143AE3DB" w:rsidR="004E4F08" w:rsidRDefault="004E4F08" w:rsidP="004E4F08">
      <w:pPr>
        <w:pStyle w:val="Odstavecseseznamem"/>
        <w:widowControl w:val="0"/>
        <w:autoSpaceDE w:val="0"/>
        <w:autoSpaceDN w:val="0"/>
        <w:adjustRightInd w:val="0"/>
        <w:spacing w:before="240" w:after="120"/>
        <w:ind w:left="426"/>
        <w:contextualSpacing w:val="0"/>
        <w:jc w:val="both"/>
        <w:rPr>
          <w:rFonts w:ascii="Arial" w:hAnsi="Arial" w:cs="Arial"/>
          <w:sz w:val="22"/>
          <w:szCs w:val="22"/>
        </w:rPr>
      </w:pPr>
    </w:p>
    <w:p w14:paraId="124DAE83" w14:textId="77777777" w:rsidR="00D474A8" w:rsidRPr="00CA28F7" w:rsidRDefault="00D474A8" w:rsidP="00CA28F7">
      <w:pPr>
        <w:widowControl w:val="0"/>
        <w:autoSpaceDE w:val="0"/>
        <w:autoSpaceDN w:val="0"/>
        <w:adjustRightInd w:val="0"/>
        <w:spacing w:before="240" w:after="120"/>
        <w:jc w:val="both"/>
        <w:rPr>
          <w:rFonts w:ascii="Arial" w:hAnsi="Arial" w:cs="Arial"/>
          <w:sz w:val="22"/>
          <w:szCs w:val="22"/>
        </w:rPr>
      </w:pPr>
    </w:p>
    <w:p w14:paraId="5B26BEAC" w14:textId="77777777" w:rsidR="00907514" w:rsidRPr="00D22838" w:rsidRDefault="00441D38" w:rsidP="00266804">
      <w:pPr>
        <w:widowControl w:val="0"/>
        <w:autoSpaceDE w:val="0"/>
        <w:autoSpaceDN w:val="0"/>
        <w:adjustRightInd w:val="0"/>
        <w:spacing w:before="240"/>
        <w:jc w:val="center"/>
        <w:rPr>
          <w:rFonts w:ascii="Arial" w:hAnsi="Arial" w:cs="Arial"/>
          <w:b/>
          <w:sz w:val="22"/>
          <w:szCs w:val="22"/>
        </w:rPr>
      </w:pPr>
      <w:r w:rsidRPr="00D22838">
        <w:rPr>
          <w:rFonts w:ascii="Arial" w:hAnsi="Arial" w:cs="Arial"/>
          <w:b/>
          <w:sz w:val="22"/>
          <w:szCs w:val="22"/>
        </w:rPr>
        <w:lastRenderedPageBreak/>
        <w:t>III</w:t>
      </w:r>
      <w:r w:rsidR="00907514" w:rsidRPr="00D22838">
        <w:rPr>
          <w:rFonts w:ascii="Arial" w:hAnsi="Arial" w:cs="Arial"/>
          <w:b/>
          <w:sz w:val="22"/>
          <w:szCs w:val="22"/>
        </w:rPr>
        <w:t>.</w:t>
      </w:r>
    </w:p>
    <w:p w14:paraId="22B7C2A3" w14:textId="78E4539B" w:rsidR="003F09CE" w:rsidRPr="00D22838" w:rsidRDefault="00907514" w:rsidP="00EF5132">
      <w:pPr>
        <w:widowControl w:val="0"/>
        <w:autoSpaceDE w:val="0"/>
        <w:autoSpaceDN w:val="0"/>
        <w:adjustRightInd w:val="0"/>
        <w:spacing w:after="120" w:line="240" w:lineRule="atLeast"/>
        <w:jc w:val="center"/>
        <w:rPr>
          <w:rFonts w:ascii="Arial" w:hAnsi="Arial" w:cs="Arial"/>
          <w:sz w:val="22"/>
          <w:szCs w:val="22"/>
        </w:rPr>
      </w:pPr>
      <w:r w:rsidRPr="00D22838">
        <w:rPr>
          <w:rFonts w:ascii="Arial" w:hAnsi="Arial" w:cs="Arial"/>
          <w:b/>
          <w:sz w:val="22"/>
          <w:szCs w:val="22"/>
          <w:u w:val="single"/>
        </w:rPr>
        <w:t xml:space="preserve">Cena </w:t>
      </w:r>
      <w:r w:rsidR="001F583E" w:rsidRPr="00D22838">
        <w:rPr>
          <w:rFonts w:ascii="Arial" w:hAnsi="Arial" w:cs="Arial"/>
          <w:b/>
          <w:sz w:val="22"/>
          <w:szCs w:val="22"/>
          <w:u w:val="single"/>
        </w:rPr>
        <w:t>a platební podmínky</w:t>
      </w:r>
    </w:p>
    <w:p w14:paraId="5CE5D9FF" w14:textId="48E726F7" w:rsidR="003E28F3" w:rsidRPr="00F43DFA" w:rsidRDefault="00F43DFA" w:rsidP="000940CF">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sidRPr="00F43DFA">
        <w:rPr>
          <w:rFonts w:ascii="Arial" w:hAnsi="Arial" w:cs="Arial"/>
          <w:sz w:val="22"/>
          <w:szCs w:val="22"/>
        </w:rPr>
        <w:t xml:space="preserve">Nabídková cena za zakázku je </w:t>
      </w:r>
      <w:r w:rsidRPr="00F43DFA">
        <w:rPr>
          <w:rFonts w:ascii="Arial" w:hAnsi="Arial" w:cs="Arial"/>
          <w:color w:val="000000"/>
          <w:sz w:val="22"/>
          <w:szCs w:val="22"/>
        </w:rPr>
        <w:t xml:space="preserve">rozdělena rovnoměrně do </w:t>
      </w:r>
      <w:r w:rsidR="00DA0B5A">
        <w:rPr>
          <w:rFonts w:ascii="Arial" w:hAnsi="Arial" w:cs="Arial"/>
          <w:color w:val="000000"/>
          <w:sz w:val="22"/>
          <w:szCs w:val="22"/>
        </w:rPr>
        <w:t>48</w:t>
      </w:r>
      <w:r w:rsidRPr="00F43DFA">
        <w:rPr>
          <w:rFonts w:ascii="Arial" w:hAnsi="Arial" w:cs="Arial"/>
          <w:color w:val="000000"/>
          <w:sz w:val="22"/>
          <w:szCs w:val="22"/>
        </w:rPr>
        <w:t xml:space="preserve"> </w:t>
      </w:r>
      <w:r w:rsidR="00DA0B5A">
        <w:rPr>
          <w:rFonts w:ascii="Arial" w:hAnsi="Arial" w:cs="Arial"/>
          <w:color w:val="000000"/>
          <w:sz w:val="22"/>
          <w:szCs w:val="22"/>
        </w:rPr>
        <w:t>měsíců</w:t>
      </w:r>
      <w:r w:rsidRPr="00F43DFA">
        <w:rPr>
          <w:rFonts w:ascii="Arial" w:hAnsi="Arial" w:cs="Arial"/>
          <w:color w:val="000000"/>
          <w:sz w:val="22"/>
          <w:szCs w:val="22"/>
        </w:rPr>
        <w:t xml:space="preserve"> (3 000 000 Kč/</w:t>
      </w:r>
      <w:r w:rsidR="009608B9">
        <w:rPr>
          <w:rFonts w:ascii="Arial" w:hAnsi="Arial" w:cs="Arial"/>
          <w:color w:val="000000"/>
          <w:sz w:val="22"/>
          <w:szCs w:val="22"/>
        </w:rPr>
        <w:t xml:space="preserve"> 12 </w:t>
      </w:r>
      <w:r w:rsidR="00AE4838">
        <w:rPr>
          <w:rFonts w:ascii="Arial" w:hAnsi="Arial" w:cs="Arial"/>
          <w:color w:val="000000"/>
          <w:sz w:val="22"/>
          <w:szCs w:val="22"/>
        </w:rPr>
        <w:t>měsíc</w:t>
      </w:r>
      <w:r w:rsidR="009608B9">
        <w:rPr>
          <w:rFonts w:ascii="Arial" w:hAnsi="Arial" w:cs="Arial"/>
          <w:color w:val="000000"/>
          <w:sz w:val="22"/>
          <w:szCs w:val="22"/>
        </w:rPr>
        <w:t>ů</w:t>
      </w:r>
      <w:r w:rsidRPr="00F43DFA">
        <w:rPr>
          <w:rFonts w:ascii="Arial" w:hAnsi="Arial" w:cs="Arial"/>
          <w:color w:val="000000"/>
          <w:sz w:val="22"/>
          <w:szCs w:val="22"/>
        </w:rPr>
        <w:t>). Roční hodnota VZ je rozdělena na 4 kapitoly</w:t>
      </w:r>
      <w:r w:rsidRPr="00F43DFA">
        <w:rPr>
          <w:rFonts w:ascii="Arial" w:hAnsi="Arial" w:cs="Arial"/>
          <w:sz w:val="22"/>
          <w:szCs w:val="22"/>
        </w:rPr>
        <w:t xml:space="preserve"> (DPH 21%)</w:t>
      </w:r>
      <w:r w:rsidRPr="00F43DFA">
        <w:rPr>
          <w:rFonts w:ascii="Arial" w:hAnsi="Arial" w:cs="Arial"/>
          <w:color w:val="000000"/>
          <w:sz w:val="22"/>
          <w:szCs w:val="22"/>
        </w:rPr>
        <w:t>:</w:t>
      </w:r>
    </w:p>
    <w:tbl>
      <w:tblPr>
        <w:tblW w:w="9790" w:type="dxa"/>
        <w:jc w:val="right"/>
        <w:tblLayout w:type="fixed"/>
        <w:tblCellMar>
          <w:left w:w="70" w:type="dxa"/>
          <w:right w:w="70" w:type="dxa"/>
        </w:tblCellMar>
        <w:tblLook w:val="04A0" w:firstRow="1" w:lastRow="0" w:firstColumn="1" w:lastColumn="0" w:noHBand="0" w:noVBand="1"/>
      </w:tblPr>
      <w:tblGrid>
        <w:gridCol w:w="1139"/>
        <w:gridCol w:w="4536"/>
        <w:gridCol w:w="1989"/>
        <w:gridCol w:w="2126"/>
      </w:tblGrid>
      <w:tr w:rsidR="00F43DFA" w:rsidRPr="000B674B" w14:paraId="21C573F6" w14:textId="77777777" w:rsidTr="00F43DFA">
        <w:trPr>
          <w:trHeight w:val="900"/>
          <w:jc w:val="right"/>
        </w:trPr>
        <w:tc>
          <w:tcPr>
            <w:tcW w:w="1139" w:type="dxa"/>
            <w:tcBorders>
              <w:top w:val="single" w:sz="4" w:space="0" w:color="808080"/>
              <w:left w:val="single" w:sz="4" w:space="0" w:color="808080"/>
              <w:bottom w:val="single" w:sz="4" w:space="0" w:color="808080"/>
              <w:right w:val="single" w:sz="4" w:space="0" w:color="808080"/>
            </w:tcBorders>
            <w:shd w:val="clear" w:color="000000" w:fill="C6E0B4"/>
            <w:vAlign w:val="center"/>
            <w:hideMark/>
          </w:tcPr>
          <w:p w14:paraId="1954F7D5" w14:textId="77777777" w:rsidR="00F43DFA" w:rsidRPr="00F43DFA" w:rsidRDefault="00F43DFA" w:rsidP="006E225F">
            <w:pPr>
              <w:jc w:val="center"/>
              <w:rPr>
                <w:rFonts w:ascii="Arial" w:hAnsi="Arial" w:cs="Arial"/>
                <w:b/>
                <w:bCs/>
                <w:color w:val="000000"/>
                <w:sz w:val="22"/>
                <w:szCs w:val="22"/>
              </w:rPr>
            </w:pPr>
            <w:r w:rsidRPr="00F43DFA">
              <w:rPr>
                <w:rFonts w:ascii="Arial" w:hAnsi="Arial" w:cs="Arial"/>
                <w:b/>
                <w:bCs/>
                <w:color w:val="000000"/>
                <w:sz w:val="22"/>
                <w:szCs w:val="22"/>
              </w:rPr>
              <w:t>Kapitola</w:t>
            </w:r>
          </w:p>
        </w:tc>
        <w:tc>
          <w:tcPr>
            <w:tcW w:w="4536" w:type="dxa"/>
            <w:tcBorders>
              <w:top w:val="single" w:sz="4" w:space="0" w:color="808080"/>
              <w:left w:val="nil"/>
              <w:bottom w:val="single" w:sz="4" w:space="0" w:color="808080"/>
              <w:right w:val="single" w:sz="4" w:space="0" w:color="808080"/>
            </w:tcBorders>
            <w:shd w:val="clear" w:color="000000" w:fill="C6E0B4"/>
            <w:vAlign w:val="center"/>
            <w:hideMark/>
          </w:tcPr>
          <w:p w14:paraId="6BB45F79" w14:textId="77777777" w:rsidR="00F43DFA" w:rsidRPr="00F43DFA" w:rsidRDefault="00F43DFA" w:rsidP="006E225F">
            <w:pPr>
              <w:jc w:val="center"/>
              <w:rPr>
                <w:rFonts w:ascii="Arial" w:hAnsi="Arial" w:cs="Arial"/>
                <w:b/>
                <w:bCs/>
                <w:color w:val="000000"/>
                <w:sz w:val="22"/>
                <w:szCs w:val="22"/>
              </w:rPr>
            </w:pPr>
            <w:r w:rsidRPr="00F43DFA">
              <w:rPr>
                <w:rFonts w:ascii="Arial" w:hAnsi="Arial" w:cs="Arial"/>
                <w:b/>
                <w:bCs/>
                <w:color w:val="000000"/>
                <w:sz w:val="22"/>
                <w:szCs w:val="22"/>
              </w:rPr>
              <w:t>Čerpání/platba</w:t>
            </w:r>
          </w:p>
        </w:tc>
        <w:tc>
          <w:tcPr>
            <w:tcW w:w="1989" w:type="dxa"/>
            <w:tcBorders>
              <w:top w:val="single" w:sz="4" w:space="0" w:color="808080"/>
              <w:left w:val="nil"/>
              <w:bottom w:val="single" w:sz="4" w:space="0" w:color="808080"/>
              <w:right w:val="single" w:sz="4" w:space="0" w:color="auto"/>
            </w:tcBorders>
            <w:shd w:val="clear" w:color="000000" w:fill="C6E0B4"/>
            <w:vAlign w:val="center"/>
          </w:tcPr>
          <w:p w14:paraId="01BF8E89" w14:textId="77777777" w:rsidR="00F43DFA" w:rsidRPr="00F43DFA" w:rsidRDefault="00F43DFA" w:rsidP="006E225F">
            <w:pPr>
              <w:jc w:val="center"/>
              <w:rPr>
                <w:rFonts w:ascii="Arial" w:hAnsi="Arial" w:cs="Arial"/>
                <w:b/>
                <w:bCs/>
                <w:color w:val="000000"/>
                <w:sz w:val="22"/>
                <w:szCs w:val="22"/>
              </w:rPr>
            </w:pPr>
            <w:r w:rsidRPr="00F43DFA">
              <w:rPr>
                <w:rFonts w:ascii="Arial" w:hAnsi="Arial" w:cs="Arial"/>
                <w:b/>
                <w:bCs/>
                <w:color w:val="000000"/>
                <w:sz w:val="22"/>
                <w:szCs w:val="22"/>
              </w:rPr>
              <w:t>Cena Kč/12 měsíců bez DPH</w:t>
            </w:r>
          </w:p>
        </w:tc>
        <w:tc>
          <w:tcPr>
            <w:tcW w:w="2126" w:type="dxa"/>
            <w:tcBorders>
              <w:top w:val="single" w:sz="4" w:space="0" w:color="808080"/>
              <w:left w:val="single" w:sz="4" w:space="0" w:color="auto"/>
              <w:bottom w:val="single" w:sz="4" w:space="0" w:color="808080"/>
              <w:right w:val="single" w:sz="4" w:space="0" w:color="808080"/>
            </w:tcBorders>
            <w:shd w:val="clear" w:color="000000" w:fill="C6E0B4"/>
            <w:vAlign w:val="center"/>
          </w:tcPr>
          <w:p w14:paraId="2CCBCEB3" w14:textId="77777777" w:rsidR="00F43DFA" w:rsidRPr="00F43DFA" w:rsidRDefault="00F43DFA" w:rsidP="006E225F">
            <w:pPr>
              <w:jc w:val="center"/>
              <w:rPr>
                <w:rFonts w:ascii="Arial" w:hAnsi="Arial" w:cs="Arial"/>
                <w:b/>
                <w:bCs/>
                <w:color w:val="000000"/>
                <w:sz w:val="22"/>
                <w:szCs w:val="22"/>
              </w:rPr>
            </w:pPr>
            <w:r w:rsidRPr="00F43DFA">
              <w:rPr>
                <w:rFonts w:ascii="Arial" w:hAnsi="Arial" w:cs="Arial"/>
                <w:b/>
                <w:bCs/>
                <w:color w:val="000000"/>
                <w:sz w:val="22"/>
                <w:szCs w:val="22"/>
              </w:rPr>
              <w:t>Cena Kč/12 měsíců s DPH</w:t>
            </w:r>
          </w:p>
        </w:tc>
      </w:tr>
      <w:tr w:rsidR="00F43DFA" w:rsidRPr="000B674B" w14:paraId="2999686E" w14:textId="77777777" w:rsidTr="00F43DFA">
        <w:trPr>
          <w:trHeight w:val="319"/>
          <w:jc w:val="right"/>
        </w:trPr>
        <w:tc>
          <w:tcPr>
            <w:tcW w:w="1139" w:type="dxa"/>
            <w:tcBorders>
              <w:top w:val="nil"/>
              <w:left w:val="single" w:sz="4" w:space="0" w:color="808080"/>
              <w:bottom w:val="single" w:sz="4" w:space="0" w:color="808080"/>
              <w:right w:val="single" w:sz="4" w:space="0" w:color="808080"/>
            </w:tcBorders>
            <w:shd w:val="clear" w:color="auto" w:fill="auto"/>
            <w:noWrap/>
            <w:vAlign w:val="bottom"/>
            <w:hideMark/>
          </w:tcPr>
          <w:p w14:paraId="2EFE610F" w14:textId="77777777" w:rsidR="00F43DFA" w:rsidRPr="00F43DFA" w:rsidRDefault="00F43DFA" w:rsidP="006E225F">
            <w:pPr>
              <w:jc w:val="center"/>
              <w:rPr>
                <w:rFonts w:ascii="Arial" w:hAnsi="Arial" w:cs="Arial"/>
                <w:color w:val="000000"/>
                <w:sz w:val="22"/>
                <w:szCs w:val="22"/>
              </w:rPr>
            </w:pPr>
            <w:r w:rsidRPr="00F43DFA">
              <w:rPr>
                <w:rFonts w:ascii="Arial" w:hAnsi="Arial" w:cs="Arial"/>
                <w:color w:val="000000"/>
                <w:sz w:val="22"/>
                <w:szCs w:val="22"/>
              </w:rPr>
              <w:t>1</w:t>
            </w:r>
          </w:p>
        </w:tc>
        <w:tc>
          <w:tcPr>
            <w:tcW w:w="4536" w:type="dxa"/>
            <w:tcBorders>
              <w:top w:val="nil"/>
              <w:left w:val="nil"/>
              <w:bottom w:val="single" w:sz="4" w:space="0" w:color="808080"/>
              <w:right w:val="single" w:sz="4" w:space="0" w:color="808080"/>
            </w:tcBorders>
            <w:shd w:val="clear" w:color="auto" w:fill="auto"/>
            <w:vAlign w:val="bottom"/>
            <w:hideMark/>
          </w:tcPr>
          <w:p w14:paraId="6FDE5B3B" w14:textId="77777777" w:rsidR="00F43DFA" w:rsidRPr="00F43DFA" w:rsidRDefault="00F43DFA" w:rsidP="006E225F">
            <w:pPr>
              <w:rPr>
                <w:rFonts w:ascii="Arial" w:hAnsi="Arial" w:cs="Arial"/>
                <w:color w:val="000000"/>
                <w:sz w:val="22"/>
                <w:szCs w:val="22"/>
              </w:rPr>
            </w:pPr>
            <w:r w:rsidRPr="00F43DFA">
              <w:rPr>
                <w:rFonts w:ascii="Arial" w:hAnsi="Arial" w:cs="Arial"/>
                <w:color w:val="000000"/>
                <w:sz w:val="22"/>
                <w:szCs w:val="22"/>
              </w:rPr>
              <w:t>měsíčně (1/12), pravidelná paušální platba</w:t>
            </w:r>
          </w:p>
        </w:tc>
        <w:tc>
          <w:tcPr>
            <w:tcW w:w="1989" w:type="dxa"/>
            <w:tcBorders>
              <w:top w:val="nil"/>
              <w:left w:val="nil"/>
              <w:bottom w:val="single" w:sz="4" w:space="0" w:color="808080"/>
              <w:right w:val="single" w:sz="4" w:space="0" w:color="auto"/>
            </w:tcBorders>
            <w:vAlign w:val="bottom"/>
          </w:tcPr>
          <w:p w14:paraId="405EDE05" w14:textId="77777777" w:rsidR="00F43DFA" w:rsidRPr="00F43DFA" w:rsidRDefault="00F43DFA" w:rsidP="006E225F">
            <w:pPr>
              <w:jc w:val="right"/>
              <w:rPr>
                <w:rFonts w:ascii="Arial" w:hAnsi="Arial" w:cs="Arial"/>
                <w:color w:val="000000"/>
                <w:sz w:val="22"/>
                <w:szCs w:val="22"/>
              </w:rPr>
            </w:pPr>
            <w:r w:rsidRPr="00F43DFA">
              <w:rPr>
                <w:rFonts w:ascii="Arial" w:hAnsi="Arial" w:cs="Arial"/>
                <w:color w:val="000000"/>
                <w:sz w:val="22"/>
                <w:szCs w:val="22"/>
              </w:rPr>
              <w:t>1 200 000</w:t>
            </w:r>
          </w:p>
        </w:tc>
        <w:tc>
          <w:tcPr>
            <w:tcW w:w="2126" w:type="dxa"/>
            <w:tcBorders>
              <w:top w:val="single" w:sz="4" w:space="0" w:color="808080"/>
              <w:left w:val="single" w:sz="4" w:space="0" w:color="auto"/>
              <w:bottom w:val="single" w:sz="4" w:space="0" w:color="808080"/>
              <w:right w:val="single" w:sz="4" w:space="0" w:color="808080"/>
            </w:tcBorders>
            <w:vAlign w:val="bottom"/>
          </w:tcPr>
          <w:p w14:paraId="12783BC3" w14:textId="77777777" w:rsidR="00F43DFA" w:rsidRPr="00F43DFA" w:rsidRDefault="00F43DFA" w:rsidP="006E225F">
            <w:pPr>
              <w:jc w:val="right"/>
              <w:rPr>
                <w:rFonts w:ascii="Arial" w:hAnsi="Arial" w:cs="Arial"/>
                <w:color w:val="000000"/>
                <w:sz w:val="22"/>
                <w:szCs w:val="22"/>
              </w:rPr>
            </w:pPr>
            <w:r w:rsidRPr="00F43DFA">
              <w:rPr>
                <w:rFonts w:ascii="Arial" w:hAnsi="Arial" w:cs="Arial"/>
                <w:color w:val="000000"/>
                <w:sz w:val="22"/>
                <w:szCs w:val="22"/>
              </w:rPr>
              <w:t>1 452 000</w:t>
            </w:r>
          </w:p>
        </w:tc>
      </w:tr>
      <w:tr w:rsidR="00F43DFA" w:rsidRPr="000B674B" w14:paraId="1F5AB79F" w14:textId="77777777" w:rsidTr="00F43DFA">
        <w:trPr>
          <w:trHeight w:val="319"/>
          <w:jc w:val="right"/>
        </w:trPr>
        <w:tc>
          <w:tcPr>
            <w:tcW w:w="1139" w:type="dxa"/>
            <w:tcBorders>
              <w:top w:val="nil"/>
              <w:left w:val="single" w:sz="4" w:space="0" w:color="808080"/>
              <w:bottom w:val="single" w:sz="4" w:space="0" w:color="808080"/>
              <w:right w:val="single" w:sz="4" w:space="0" w:color="808080"/>
            </w:tcBorders>
            <w:shd w:val="clear" w:color="auto" w:fill="auto"/>
            <w:noWrap/>
            <w:vAlign w:val="bottom"/>
            <w:hideMark/>
          </w:tcPr>
          <w:p w14:paraId="7D480D76" w14:textId="77777777" w:rsidR="00F43DFA" w:rsidRPr="00F43DFA" w:rsidRDefault="00F43DFA" w:rsidP="006E225F">
            <w:pPr>
              <w:jc w:val="center"/>
              <w:rPr>
                <w:rFonts w:ascii="Arial" w:hAnsi="Arial" w:cs="Arial"/>
                <w:color w:val="000000"/>
                <w:sz w:val="22"/>
                <w:szCs w:val="22"/>
              </w:rPr>
            </w:pPr>
            <w:r w:rsidRPr="00F43DFA">
              <w:rPr>
                <w:rFonts w:ascii="Arial" w:hAnsi="Arial" w:cs="Arial"/>
                <w:color w:val="000000"/>
                <w:sz w:val="22"/>
                <w:szCs w:val="22"/>
              </w:rPr>
              <w:t>2</w:t>
            </w:r>
          </w:p>
        </w:tc>
        <w:tc>
          <w:tcPr>
            <w:tcW w:w="4536" w:type="dxa"/>
            <w:tcBorders>
              <w:top w:val="nil"/>
              <w:left w:val="nil"/>
              <w:bottom w:val="single" w:sz="4" w:space="0" w:color="808080"/>
              <w:right w:val="single" w:sz="4" w:space="0" w:color="808080"/>
            </w:tcBorders>
            <w:shd w:val="clear" w:color="auto" w:fill="auto"/>
            <w:vAlign w:val="bottom"/>
            <w:hideMark/>
          </w:tcPr>
          <w:p w14:paraId="50396F56" w14:textId="77777777" w:rsidR="00F43DFA" w:rsidRPr="00F43DFA" w:rsidRDefault="00F43DFA" w:rsidP="006E225F">
            <w:pPr>
              <w:rPr>
                <w:rFonts w:ascii="Arial" w:hAnsi="Arial" w:cs="Arial"/>
                <w:color w:val="000000"/>
                <w:sz w:val="22"/>
                <w:szCs w:val="22"/>
              </w:rPr>
            </w:pPr>
            <w:r w:rsidRPr="00F43DFA">
              <w:rPr>
                <w:rFonts w:ascii="Arial" w:hAnsi="Arial" w:cs="Arial"/>
                <w:color w:val="000000"/>
                <w:sz w:val="22"/>
                <w:szCs w:val="22"/>
              </w:rPr>
              <w:t>měsíčně, počet hodin dle výkazu práce</w:t>
            </w:r>
          </w:p>
        </w:tc>
        <w:tc>
          <w:tcPr>
            <w:tcW w:w="1989" w:type="dxa"/>
            <w:tcBorders>
              <w:top w:val="nil"/>
              <w:left w:val="nil"/>
              <w:bottom w:val="single" w:sz="4" w:space="0" w:color="808080"/>
              <w:right w:val="single" w:sz="4" w:space="0" w:color="auto"/>
            </w:tcBorders>
            <w:vAlign w:val="bottom"/>
          </w:tcPr>
          <w:p w14:paraId="46711FAB" w14:textId="77777777" w:rsidR="00F43DFA" w:rsidRPr="00F43DFA" w:rsidRDefault="00F43DFA" w:rsidP="006E225F">
            <w:pPr>
              <w:jc w:val="right"/>
              <w:rPr>
                <w:rFonts w:ascii="Arial" w:hAnsi="Arial" w:cs="Arial"/>
                <w:color w:val="000000"/>
                <w:sz w:val="22"/>
                <w:szCs w:val="22"/>
              </w:rPr>
            </w:pPr>
            <w:r w:rsidRPr="00F43DFA">
              <w:rPr>
                <w:rFonts w:ascii="Arial" w:hAnsi="Arial" w:cs="Arial"/>
                <w:color w:val="000000"/>
                <w:sz w:val="22"/>
                <w:szCs w:val="22"/>
              </w:rPr>
              <w:t>500 000</w:t>
            </w:r>
          </w:p>
        </w:tc>
        <w:tc>
          <w:tcPr>
            <w:tcW w:w="2126" w:type="dxa"/>
            <w:tcBorders>
              <w:top w:val="single" w:sz="4" w:space="0" w:color="808080"/>
              <w:left w:val="single" w:sz="4" w:space="0" w:color="auto"/>
              <w:bottom w:val="single" w:sz="4" w:space="0" w:color="808080"/>
              <w:right w:val="single" w:sz="4" w:space="0" w:color="808080"/>
            </w:tcBorders>
            <w:vAlign w:val="bottom"/>
          </w:tcPr>
          <w:p w14:paraId="7CD8AC66" w14:textId="77777777" w:rsidR="00F43DFA" w:rsidRPr="00F43DFA" w:rsidRDefault="00F43DFA" w:rsidP="006E225F">
            <w:pPr>
              <w:jc w:val="right"/>
              <w:rPr>
                <w:rFonts w:ascii="Arial" w:hAnsi="Arial" w:cs="Arial"/>
                <w:color w:val="000000"/>
                <w:sz w:val="22"/>
                <w:szCs w:val="22"/>
              </w:rPr>
            </w:pPr>
            <w:r w:rsidRPr="00F43DFA">
              <w:rPr>
                <w:rFonts w:ascii="Arial" w:hAnsi="Arial" w:cs="Arial"/>
                <w:color w:val="000000"/>
                <w:sz w:val="22"/>
                <w:szCs w:val="22"/>
              </w:rPr>
              <w:t>605 000</w:t>
            </w:r>
          </w:p>
        </w:tc>
      </w:tr>
      <w:tr w:rsidR="00F43DFA" w:rsidRPr="000B674B" w14:paraId="700A5180" w14:textId="77777777" w:rsidTr="00F43DFA">
        <w:trPr>
          <w:trHeight w:val="319"/>
          <w:jc w:val="right"/>
        </w:trPr>
        <w:tc>
          <w:tcPr>
            <w:tcW w:w="1139" w:type="dxa"/>
            <w:tcBorders>
              <w:top w:val="nil"/>
              <w:left w:val="single" w:sz="4" w:space="0" w:color="808080"/>
              <w:bottom w:val="single" w:sz="4" w:space="0" w:color="808080"/>
              <w:right w:val="single" w:sz="4" w:space="0" w:color="808080"/>
            </w:tcBorders>
            <w:shd w:val="clear" w:color="auto" w:fill="auto"/>
            <w:noWrap/>
            <w:vAlign w:val="bottom"/>
            <w:hideMark/>
          </w:tcPr>
          <w:p w14:paraId="76431E42" w14:textId="77777777" w:rsidR="00F43DFA" w:rsidRPr="00F43DFA" w:rsidRDefault="00F43DFA" w:rsidP="006E225F">
            <w:pPr>
              <w:jc w:val="center"/>
              <w:rPr>
                <w:rFonts w:ascii="Arial" w:hAnsi="Arial" w:cs="Arial"/>
                <w:color w:val="000000"/>
                <w:sz w:val="22"/>
                <w:szCs w:val="22"/>
              </w:rPr>
            </w:pPr>
            <w:r w:rsidRPr="00F43DFA">
              <w:rPr>
                <w:rFonts w:ascii="Arial" w:hAnsi="Arial" w:cs="Arial"/>
                <w:color w:val="000000"/>
                <w:sz w:val="22"/>
                <w:szCs w:val="22"/>
              </w:rPr>
              <w:t>3</w:t>
            </w:r>
          </w:p>
        </w:tc>
        <w:tc>
          <w:tcPr>
            <w:tcW w:w="4536" w:type="dxa"/>
            <w:tcBorders>
              <w:top w:val="nil"/>
              <w:left w:val="nil"/>
              <w:bottom w:val="single" w:sz="4" w:space="0" w:color="808080"/>
              <w:right w:val="single" w:sz="4" w:space="0" w:color="808080"/>
            </w:tcBorders>
            <w:shd w:val="clear" w:color="auto" w:fill="auto"/>
            <w:vAlign w:val="bottom"/>
            <w:hideMark/>
          </w:tcPr>
          <w:p w14:paraId="07ECBF78" w14:textId="77777777" w:rsidR="00F43DFA" w:rsidRPr="00F43DFA" w:rsidRDefault="00F43DFA" w:rsidP="006E225F">
            <w:pPr>
              <w:rPr>
                <w:rFonts w:ascii="Arial" w:hAnsi="Arial" w:cs="Arial"/>
                <w:color w:val="000000"/>
                <w:sz w:val="22"/>
                <w:szCs w:val="22"/>
              </w:rPr>
            </w:pPr>
            <w:r w:rsidRPr="00F43DFA">
              <w:rPr>
                <w:rFonts w:ascii="Arial" w:hAnsi="Arial" w:cs="Arial"/>
                <w:color w:val="000000"/>
                <w:sz w:val="22"/>
                <w:szCs w:val="22"/>
              </w:rPr>
              <w:t>provedené práce dle odsouhlasené nabídky</w:t>
            </w:r>
          </w:p>
        </w:tc>
        <w:tc>
          <w:tcPr>
            <w:tcW w:w="1989" w:type="dxa"/>
            <w:tcBorders>
              <w:top w:val="nil"/>
              <w:left w:val="nil"/>
              <w:bottom w:val="single" w:sz="4" w:space="0" w:color="808080"/>
              <w:right w:val="single" w:sz="4" w:space="0" w:color="auto"/>
            </w:tcBorders>
            <w:vAlign w:val="bottom"/>
          </w:tcPr>
          <w:p w14:paraId="207A0AE1" w14:textId="77777777" w:rsidR="00F43DFA" w:rsidRPr="00F43DFA" w:rsidRDefault="00F43DFA" w:rsidP="006E225F">
            <w:pPr>
              <w:jc w:val="right"/>
              <w:rPr>
                <w:rFonts w:ascii="Arial" w:hAnsi="Arial" w:cs="Arial"/>
                <w:color w:val="000000"/>
                <w:sz w:val="22"/>
                <w:szCs w:val="22"/>
              </w:rPr>
            </w:pPr>
            <w:r w:rsidRPr="00F43DFA">
              <w:rPr>
                <w:rFonts w:ascii="Arial" w:hAnsi="Arial" w:cs="Arial"/>
                <w:color w:val="000000"/>
                <w:sz w:val="22"/>
                <w:szCs w:val="22"/>
              </w:rPr>
              <w:t xml:space="preserve">   300 000</w:t>
            </w:r>
          </w:p>
        </w:tc>
        <w:tc>
          <w:tcPr>
            <w:tcW w:w="2126" w:type="dxa"/>
            <w:tcBorders>
              <w:top w:val="single" w:sz="4" w:space="0" w:color="808080"/>
              <w:left w:val="single" w:sz="4" w:space="0" w:color="auto"/>
              <w:bottom w:val="single" w:sz="4" w:space="0" w:color="808080"/>
              <w:right w:val="single" w:sz="4" w:space="0" w:color="808080"/>
            </w:tcBorders>
            <w:vAlign w:val="bottom"/>
          </w:tcPr>
          <w:p w14:paraId="05001AA1" w14:textId="77777777" w:rsidR="00F43DFA" w:rsidRPr="00F43DFA" w:rsidRDefault="00F43DFA" w:rsidP="006E225F">
            <w:pPr>
              <w:jc w:val="right"/>
              <w:rPr>
                <w:rFonts w:ascii="Arial" w:hAnsi="Arial" w:cs="Arial"/>
                <w:color w:val="000000"/>
                <w:sz w:val="22"/>
                <w:szCs w:val="22"/>
              </w:rPr>
            </w:pPr>
            <w:r w:rsidRPr="00F43DFA">
              <w:rPr>
                <w:rFonts w:ascii="Arial" w:hAnsi="Arial" w:cs="Arial"/>
                <w:color w:val="000000"/>
                <w:sz w:val="22"/>
                <w:szCs w:val="22"/>
              </w:rPr>
              <w:t>363 000</w:t>
            </w:r>
          </w:p>
        </w:tc>
      </w:tr>
      <w:tr w:rsidR="00F43DFA" w:rsidRPr="000B674B" w14:paraId="74A65E43" w14:textId="77777777" w:rsidTr="00F43DFA">
        <w:trPr>
          <w:trHeight w:val="319"/>
          <w:jc w:val="right"/>
        </w:trPr>
        <w:tc>
          <w:tcPr>
            <w:tcW w:w="1139" w:type="dxa"/>
            <w:tcBorders>
              <w:top w:val="nil"/>
              <w:left w:val="single" w:sz="4" w:space="0" w:color="808080"/>
              <w:bottom w:val="single" w:sz="4" w:space="0" w:color="auto"/>
              <w:right w:val="single" w:sz="4" w:space="0" w:color="808080"/>
            </w:tcBorders>
            <w:shd w:val="clear" w:color="auto" w:fill="auto"/>
            <w:noWrap/>
            <w:vAlign w:val="bottom"/>
            <w:hideMark/>
          </w:tcPr>
          <w:p w14:paraId="56E5927C" w14:textId="77777777" w:rsidR="00F43DFA" w:rsidRPr="00F43DFA" w:rsidRDefault="00F43DFA" w:rsidP="006E225F">
            <w:pPr>
              <w:jc w:val="center"/>
              <w:rPr>
                <w:rFonts w:ascii="Arial" w:hAnsi="Arial" w:cs="Arial"/>
                <w:color w:val="000000"/>
                <w:sz w:val="22"/>
                <w:szCs w:val="22"/>
              </w:rPr>
            </w:pPr>
            <w:r w:rsidRPr="00F43DFA">
              <w:rPr>
                <w:rFonts w:ascii="Arial" w:hAnsi="Arial" w:cs="Arial"/>
                <w:color w:val="000000"/>
                <w:sz w:val="22"/>
                <w:szCs w:val="22"/>
              </w:rPr>
              <w:t>4</w:t>
            </w:r>
          </w:p>
        </w:tc>
        <w:tc>
          <w:tcPr>
            <w:tcW w:w="4536" w:type="dxa"/>
            <w:tcBorders>
              <w:top w:val="nil"/>
              <w:left w:val="nil"/>
              <w:bottom w:val="single" w:sz="4" w:space="0" w:color="auto"/>
              <w:right w:val="single" w:sz="4" w:space="0" w:color="808080"/>
            </w:tcBorders>
            <w:shd w:val="clear" w:color="auto" w:fill="auto"/>
            <w:vAlign w:val="bottom"/>
            <w:hideMark/>
          </w:tcPr>
          <w:p w14:paraId="403189F8" w14:textId="77777777" w:rsidR="00F43DFA" w:rsidRPr="00F43DFA" w:rsidRDefault="00F43DFA" w:rsidP="006E225F">
            <w:pPr>
              <w:rPr>
                <w:rFonts w:ascii="Arial" w:hAnsi="Arial" w:cs="Arial"/>
                <w:color w:val="000000"/>
                <w:sz w:val="22"/>
                <w:szCs w:val="22"/>
              </w:rPr>
            </w:pPr>
            <w:r w:rsidRPr="00F43DFA">
              <w:rPr>
                <w:rFonts w:ascii="Arial" w:hAnsi="Arial" w:cs="Arial"/>
                <w:color w:val="000000"/>
                <w:sz w:val="22"/>
                <w:szCs w:val="22"/>
              </w:rPr>
              <w:t>ročně dle odsouhlasené nabídky</w:t>
            </w:r>
          </w:p>
        </w:tc>
        <w:tc>
          <w:tcPr>
            <w:tcW w:w="1989" w:type="dxa"/>
            <w:tcBorders>
              <w:top w:val="nil"/>
              <w:left w:val="nil"/>
              <w:bottom w:val="single" w:sz="4" w:space="0" w:color="auto"/>
              <w:right w:val="single" w:sz="4" w:space="0" w:color="auto"/>
            </w:tcBorders>
            <w:vAlign w:val="bottom"/>
          </w:tcPr>
          <w:p w14:paraId="4786D0A6" w14:textId="77777777" w:rsidR="00F43DFA" w:rsidRPr="00F43DFA" w:rsidRDefault="00F43DFA" w:rsidP="006E225F">
            <w:pPr>
              <w:jc w:val="right"/>
              <w:rPr>
                <w:rFonts w:ascii="Arial" w:hAnsi="Arial" w:cs="Arial"/>
                <w:color w:val="000000"/>
                <w:sz w:val="22"/>
                <w:szCs w:val="22"/>
              </w:rPr>
            </w:pPr>
            <w:r w:rsidRPr="00F43DFA">
              <w:rPr>
                <w:rFonts w:ascii="Arial" w:hAnsi="Arial" w:cs="Arial"/>
                <w:color w:val="000000"/>
                <w:sz w:val="22"/>
                <w:szCs w:val="22"/>
              </w:rPr>
              <w:t>1 000 000</w:t>
            </w:r>
          </w:p>
        </w:tc>
        <w:tc>
          <w:tcPr>
            <w:tcW w:w="2126" w:type="dxa"/>
            <w:tcBorders>
              <w:top w:val="single" w:sz="4" w:space="0" w:color="808080"/>
              <w:left w:val="single" w:sz="4" w:space="0" w:color="auto"/>
              <w:bottom w:val="single" w:sz="4" w:space="0" w:color="808080"/>
              <w:right w:val="single" w:sz="4" w:space="0" w:color="808080"/>
            </w:tcBorders>
            <w:vAlign w:val="bottom"/>
          </w:tcPr>
          <w:p w14:paraId="19FF5D2E" w14:textId="77777777" w:rsidR="00F43DFA" w:rsidRPr="00F43DFA" w:rsidRDefault="00F43DFA" w:rsidP="006E225F">
            <w:pPr>
              <w:jc w:val="right"/>
              <w:rPr>
                <w:rFonts w:ascii="Arial" w:hAnsi="Arial" w:cs="Arial"/>
                <w:color w:val="000000"/>
                <w:sz w:val="22"/>
                <w:szCs w:val="22"/>
              </w:rPr>
            </w:pPr>
            <w:r w:rsidRPr="00F43DFA">
              <w:rPr>
                <w:rFonts w:ascii="Arial" w:hAnsi="Arial" w:cs="Arial"/>
                <w:color w:val="000000"/>
                <w:sz w:val="22"/>
                <w:szCs w:val="22"/>
              </w:rPr>
              <w:t>1 210 000</w:t>
            </w:r>
          </w:p>
        </w:tc>
      </w:tr>
      <w:tr w:rsidR="00F43DFA" w:rsidRPr="000B674B" w14:paraId="77099162" w14:textId="77777777" w:rsidTr="00F43DFA">
        <w:trPr>
          <w:trHeight w:val="319"/>
          <w:jc w:val="right"/>
        </w:trPr>
        <w:tc>
          <w:tcPr>
            <w:tcW w:w="5675" w:type="dxa"/>
            <w:gridSpan w:val="2"/>
            <w:tcBorders>
              <w:top w:val="single" w:sz="4" w:space="0" w:color="auto"/>
              <w:left w:val="single" w:sz="4" w:space="0" w:color="808080"/>
              <w:bottom w:val="single" w:sz="4" w:space="0" w:color="808080"/>
              <w:right w:val="single" w:sz="4" w:space="0" w:color="808080"/>
            </w:tcBorders>
            <w:shd w:val="clear" w:color="auto" w:fill="auto"/>
            <w:noWrap/>
            <w:vAlign w:val="bottom"/>
          </w:tcPr>
          <w:p w14:paraId="2D7B2528" w14:textId="6FDDDC96" w:rsidR="00F43DFA" w:rsidRPr="00F43DFA" w:rsidRDefault="00F43DFA" w:rsidP="006E225F">
            <w:pPr>
              <w:jc w:val="center"/>
              <w:rPr>
                <w:rFonts w:ascii="Arial" w:hAnsi="Arial" w:cs="Arial"/>
                <w:b/>
                <w:color w:val="000000"/>
                <w:sz w:val="22"/>
                <w:szCs w:val="22"/>
              </w:rPr>
            </w:pPr>
            <w:r w:rsidRPr="00F43DFA">
              <w:rPr>
                <w:rFonts w:ascii="Arial" w:hAnsi="Arial" w:cs="Arial"/>
                <w:b/>
                <w:color w:val="000000"/>
                <w:sz w:val="22"/>
                <w:szCs w:val="22"/>
              </w:rPr>
              <w:t>Hodnota VZ / 1</w:t>
            </w:r>
            <w:r w:rsidR="00F50015">
              <w:rPr>
                <w:rFonts w:ascii="Arial" w:hAnsi="Arial" w:cs="Arial"/>
                <w:b/>
                <w:color w:val="000000"/>
                <w:sz w:val="22"/>
                <w:szCs w:val="22"/>
              </w:rPr>
              <w:t>2 měsíců</w:t>
            </w:r>
          </w:p>
        </w:tc>
        <w:tc>
          <w:tcPr>
            <w:tcW w:w="1989" w:type="dxa"/>
            <w:tcBorders>
              <w:top w:val="single" w:sz="4" w:space="0" w:color="auto"/>
              <w:left w:val="nil"/>
              <w:bottom w:val="single" w:sz="4" w:space="0" w:color="808080"/>
              <w:right w:val="single" w:sz="4" w:space="0" w:color="auto"/>
            </w:tcBorders>
            <w:vAlign w:val="bottom"/>
          </w:tcPr>
          <w:p w14:paraId="684D29E6" w14:textId="77777777" w:rsidR="00F43DFA" w:rsidRPr="00F43DFA" w:rsidRDefault="00F43DFA" w:rsidP="006E225F">
            <w:pPr>
              <w:jc w:val="right"/>
              <w:rPr>
                <w:rFonts w:ascii="Arial" w:hAnsi="Arial" w:cs="Arial"/>
                <w:b/>
                <w:color w:val="000000"/>
                <w:sz w:val="22"/>
                <w:szCs w:val="22"/>
              </w:rPr>
            </w:pPr>
            <w:r w:rsidRPr="00F43DFA">
              <w:rPr>
                <w:rFonts w:ascii="Arial" w:hAnsi="Arial" w:cs="Arial"/>
                <w:b/>
                <w:color w:val="000000"/>
                <w:sz w:val="22"/>
                <w:szCs w:val="22"/>
              </w:rPr>
              <w:t>3 000 000</w:t>
            </w:r>
          </w:p>
        </w:tc>
        <w:tc>
          <w:tcPr>
            <w:tcW w:w="2126" w:type="dxa"/>
            <w:tcBorders>
              <w:top w:val="single" w:sz="4" w:space="0" w:color="808080"/>
              <w:left w:val="single" w:sz="4" w:space="0" w:color="auto"/>
              <w:bottom w:val="single" w:sz="4" w:space="0" w:color="808080"/>
              <w:right w:val="single" w:sz="4" w:space="0" w:color="808080"/>
            </w:tcBorders>
            <w:vAlign w:val="bottom"/>
          </w:tcPr>
          <w:p w14:paraId="734D497F" w14:textId="77777777" w:rsidR="00F43DFA" w:rsidRPr="00F43DFA" w:rsidRDefault="00F43DFA" w:rsidP="006E225F">
            <w:pPr>
              <w:jc w:val="right"/>
              <w:rPr>
                <w:rFonts w:ascii="Arial" w:hAnsi="Arial" w:cs="Arial"/>
                <w:b/>
                <w:color w:val="000000"/>
                <w:sz w:val="22"/>
                <w:szCs w:val="22"/>
              </w:rPr>
            </w:pPr>
            <w:r w:rsidRPr="00F43DFA">
              <w:rPr>
                <w:rFonts w:ascii="Arial" w:hAnsi="Arial" w:cs="Arial"/>
                <w:b/>
                <w:color w:val="000000"/>
                <w:sz w:val="22"/>
                <w:szCs w:val="22"/>
              </w:rPr>
              <w:t>3 630 000</w:t>
            </w:r>
          </w:p>
        </w:tc>
      </w:tr>
    </w:tbl>
    <w:p w14:paraId="7CA9B5A9" w14:textId="141E8A75" w:rsidR="00F43DFA" w:rsidRDefault="00186F35" w:rsidP="000940CF">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sidRPr="00186F35">
        <w:rPr>
          <w:rFonts w:ascii="Arial" w:hAnsi="Arial" w:cs="Arial"/>
          <w:sz w:val="22"/>
          <w:szCs w:val="22"/>
        </w:rPr>
        <w:t>Nevyčerpané finanční prostředky z jednotlivých kapitol v rámci roku se převádějí do stejných kapitol roku následujícího.</w:t>
      </w:r>
    </w:p>
    <w:p w14:paraId="72B25F67" w14:textId="55601B54" w:rsidR="00186F35" w:rsidRPr="00D22838" w:rsidRDefault="00186F35" w:rsidP="000940CF">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Pr>
          <w:rFonts w:ascii="Arial" w:hAnsi="Arial" w:cs="Arial"/>
          <w:sz w:val="22"/>
          <w:szCs w:val="22"/>
        </w:rPr>
        <w:t>Objednatel</w:t>
      </w:r>
      <w:r w:rsidRPr="00186F35">
        <w:rPr>
          <w:rFonts w:ascii="Arial" w:hAnsi="Arial" w:cs="Arial"/>
          <w:sz w:val="22"/>
          <w:szCs w:val="22"/>
        </w:rPr>
        <w:t xml:space="preserve"> m</w:t>
      </w:r>
      <w:r>
        <w:rPr>
          <w:rFonts w:ascii="Arial" w:hAnsi="Arial" w:cs="Arial"/>
          <w:sz w:val="22"/>
          <w:szCs w:val="22"/>
        </w:rPr>
        <w:t>ůže</w:t>
      </w:r>
      <w:r w:rsidRPr="00186F35">
        <w:rPr>
          <w:rFonts w:ascii="Arial" w:hAnsi="Arial" w:cs="Arial"/>
          <w:sz w:val="22"/>
          <w:szCs w:val="22"/>
        </w:rPr>
        <w:t xml:space="preserve"> přes</w:t>
      </w:r>
      <w:r>
        <w:rPr>
          <w:rFonts w:ascii="Arial" w:hAnsi="Arial" w:cs="Arial"/>
          <w:sz w:val="22"/>
          <w:szCs w:val="22"/>
        </w:rPr>
        <w:t>ouvat</w:t>
      </w:r>
      <w:r w:rsidRPr="00186F35">
        <w:rPr>
          <w:rFonts w:ascii="Arial" w:hAnsi="Arial" w:cs="Arial"/>
          <w:sz w:val="22"/>
          <w:szCs w:val="22"/>
        </w:rPr>
        <w:t xml:space="preserve"> finanční prostředk</w:t>
      </w:r>
      <w:r>
        <w:rPr>
          <w:rFonts w:ascii="Arial" w:hAnsi="Arial" w:cs="Arial"/>
          <w:sz w:val="22"/>
          <w:szCs w:val="22"/>
        </w:rPr>
        <w:t>y</w:t>
      </w:r>
      <w:r w:rsidRPr="00186F35">
        <w:rPr>
          <w:rFonts w:ascii="Arial" w:hAnsi="Arial" w:cs="Arial"/>
          <w:sz w:val="22"/>
          <w:szCs w:val="22"/>
        </w:rPr>
        <w:t xml:space="preserve"> v rámci kapitol v období jednoho roku i mezi jednotlivými roky</w:t>
      </w:r>
      <w:r>
        <w:rPr>
          <w:rFonts w:ascii="Arial" w:hAnsi="Arial" w:cs="Arial"/>
          <w:sz w:val="22"/>
          <w:szCs w:val="22"/>
        </w:rPr>
        <w:t xml:space="preserve"> následovně:</w:t>
      </w:r>
    </w:p>
    <w:tbl>
      <w:tblPr>
        <w:tblpPr w:leftFromText="141" w:rightFromText="141" w:vertAnchor="text" w:horzAnchor="margin" w:tblpXSpec="center" w:tblpY="162"/>
        <w:tblW w:w="9776" w:type="dxa"/>
        <w:tblCellMar>
          <w:left w:w="70" w:type="dxa"/>
          <w:right w:w="70" w:type="dxa"/>
        </w:tblCellMar>
        <w:tblLook w:val="04A0" w:firstRow="1" w:lastRow="0" w:firstColumn="1" w:lastColumn="0" w:noHBand="0" w:noVBand="1"/>
      </w:tblPr>
      <w:tblGrid>
        <w:gridCol w:w="772"/>
        <w:gridCol w:w="1208"/>
        <w:gridCol w:w="3260"/>
        <w:gridCol w:w="2552"/>
        <w:gridCol w:w="1984"/>
      </w:tblGrid>
      <w:tr w:rsidR="00186F35" w:rsidRPr="00186F35" w14:paraId="7B86BBA0" w14:textId="77777777" w:rsidTr="00186F35">
        <w:trPr>
          <w:trHeight w:val="900"/>
        </w:trPr>
        <w:tc>
          <w:tcPr>
            <w:tcW w:w="772" w:type="dxa"/>
            <w:tcBorders>
              <w:top w:val="single" w:sz="4" w:space="0" w:color="808080"/>
              <w:left w:val="single" w:sz="4" w:space="0" w:color="808080"/>
              <w:bottom w:val="single" w:sz="4" w:space="0" w:color="808080"/>
              <w:right w:val="single" w:sz="4" w:space="0" w:color="808080"/>
            </w:tcBorders>
            <w:shd w:val="clear" w:color="000000" w:fill="C6E0B4"/>
            <w:vAlign w:val="center"/>
            <w:hideMark/>
          </w:tcPr>
          <w:p w14:paraId="1D228598" w14:textId="77777777" w:rsidR="00186F35" w:rsidRPr="00186F35" w:rsidRDefault="00186F35" w:rsidP="00186F35">
            <w:pPr>
              <w:jc w:val="center"/>
              <w:rPr>
                <w:rFonts w:ascii="Arial" w:hAnsi="Arial" w:cs="Arial"/>
                <w:b/>
                <w:bCs/>
                <w:color w:val="000000"/>
                <w:sz w:val="16"/>
                <w:szCs w:val="16"/>
              </w:rPr>
            </w:pPr>
            <w:r w:rsidRPr="00186F35">
              <w:rPr>
                <w:rFonts w:ascii="Arial" w:hAnsi="Arial" w:cs="Arial"/>
                <w:b/>
                <w:bCs/>
                <w:color w:val="000000"/>
                <w:sz w:val="16"/>
                <w:szCs w:val="16"/>
              </w:rPr>
              <w:t>Kapitola</w:t>
            </w:r>
          </w:p>
        </w:tc>
        <w:tc>
          <w:tcPr>
            <w:tcW w:w="1208" w:type="dxa"/>
            <w:tcBorders>
              <w:top w:val="single" w:sz="4" w:space="0" w:color="808080"/>
              <w:left w:val="nil"/>
              <w:bottom w:val="single" w:sz="4" w:space="0" w:color="808080"/>
              <w:right w:val="single" w:sz="4" w:space="0" w:color="808080"/>
            </w:tcBorders>
            <w:shd w:val="clear" w:color="000000" w:fill="C6E0B4"/>
            <w:vAlign w:val="center"/>
            <w:hideMark/>
          </w:tcPr>
          <w:p w14:paraId="506BD6C8" w14:textId="77777777" w:rsidR="00186F35" w:rsidRPr="00186F35" w:rsidRDefault="00186F35" w:rsidP="00186F35">
            <w:pPr>
              <w:jc w:val="center"/>
              <w:rPr>
                <w:rFonts w:ascii="Arial" w:hAnsi="Arial" w:cs="Arial"/>
                <w:b/>
                <w:bCs/>
                <w:color w:val="000000"/>
                <w:sz w:val="16"/>
                <w:szCs w:val="16"/>
              </w:rPr>
            </w:pPr>
            <w:r w:rsidRPr="00186F35">
              <w:rPr>
                <w:rFonts w:ascii="Arial" w:hAnsi="Arial" w:cs="Arial"/>
                <w:b/>
                <w:bCs/>
                <w:color w:val="000000"/>
                <w:sz w:val="16"/>
                <w:szCs w:val="16"/>
              </w:rPr>
              <w:t>Kč/12 měsíců</w:t>
            </w:r>
          </w:p>
        </w:tc>
        <w:tc>
          <w:tcPr>
            <w:tcW w:w="3260" w:type="dxa"/>
            <w:tcBorders>
              <w:top w:val="single" w:sz="4" w:space="0" w:color="808080"/>
              <w:left w:val="nil"/>
              <w:bottom w:val="single" w:sz="4" w:space="0" w:color="808080"/>
              <w:right w:val="single" w:sz="4" w:space="0" w:color="808080"/>
            </w:tcBorders>
            <w:shd w:val="clear" w:color="000000" w:fill="C6E0B4"/>
            <w:vAlign w:val="center"/>
            <w:hideMark/>
          </w:tcPr>
          <w:p w14:paraId="541BAA32" w14:textId="77777777" w:rsidR="00186F35" w:rsidRPr="00186F35" w:rsidRDefault="00186F35" w:rsidP="00186F35">
            <w:pPr>
              <w:jc w:val="center"/>
              <w:rPr>
                <w:rFonts w:ascii="Arial" w:hAnsi="Arial" w:cs="Arial"/>
                <w:b/>
                <w:bCs/>
                <w:color w:val="000000"/>
                <w:sz w:val="16"/>
                <w:szCs w:val="16"/>
              </w:rPr>
            </w:pPr>
            <w:r w:rsidRPr="00186F35">
              <w:rPr>
                <w:rFonts w:ascii="Arial" w:hAnsi="Arial" w:cs="Arial"/>
                <w:b/>
                <w:bCs/>
                <w:color w:val="000000"/>
                <w:sz w:val="16"/>
                <w:szCs w:val="16"/>
              </w:rPr>
              <w:t>Čerpání/platba</w:t>
            </w:r>
          </w:p>
        </w:tc>
        <w:tc>
          <w:tcPr>
            <w:tcW w:w="2552" w:type="dxa"/>
            <w:tcBorders>
              <w:top w:val="single" w:sz="4" w:space="0" w:color="808080"/>
              <w:left w:val="nil"/>
              <w:bottom w:val="single" w:sz="4" w:space="0" w:color="808080"/>
              <w:right w:val="single" w:sz="4" w:space="0" w:color="808080"/>
            </w:tcBorders>
            <w:shd w:val="clear" w:color="000000" w:fill="C6E0B4"/>
            <w:vAlign w:val="center"/>
            <w:hideMark/>
          </w:tcPr>
          <w:p w14:paraId="445D1D73" w14:textId="48873BE8" w:rsidR="00186F35" w:rsidRPr="00186F35" w:rsidRDefault="00186F35" w:rsidP="00186F35">
            <w:pPr>
              <w:jc w:val="center"/>
              <w:rPr>
                <w:rFonts w:ascii="Arial" w:hAnsi="Arial" w:cs="Arial"/>
                <w:b/>
                <w:bCs/>
                <w:color w:val="000000"/>
                <w:sz w:val="16"/>
                <w:szCs w:val="16"/>
              </w:rPr>
            </w:pPr>
            <w:r w:rsidRPr="00186F35">
              <w:rPr>
                <w:rFonts w:ascii="Arial" w:hAnsi="Arial" w:cs="Arial"/>
                <w:b/>
                <w:bCs/>
                <w:color w:val="000000"/>
                <w:sz w:val="16"/>
                <w:szCs w:val="16"/>
              </w:rPr>
              <w:t xml:space="preserve">Možnost převodu do jiných kapitol během </w:t>
            </w:r>
            <w:r w:rsidR="004E0D16">
              <w:rPr>
                <w:rFonts w:ascii="Arial" w:hAnsi="Arial" w:cs="Arial"/>
                <w:b/>
                <w:bCs/>
                <w:color w:val="000000"/>
                <w:sz w:val="16"/>
                <w:szCs w:val="16"/>
              </w:rPr>
              <w:t>12 měsíců</w:t>
            </w:r>
          </w:p>
        </w:tc>
        <w:tc>
          <w:tcPr>
            <w:tcW w:w="1984" w:type="dxa"/>
            <w:tcBorders>
              <w:top w:val="single" w:sz="4" w:space="0" w:color="808080"/>
              <w:left w:val="nil"/>
              <w:bottom w:val="single" w:sz="4" w:space="0" w:color="808080"/>
              <w:right w:val="single" w:sz="4" w:space="0" w:color="808080"/>
            </w:tcBorders>
            <w:shd w:val="clear" w:color="000000" w:fill="C6E0B4"/>
            <w:vAlign w:val="center"/>
            <w:hideMark/>
          </w:tcPr>
          <w:p w14:paraId="433FA416" w14:textId="04A7190B" w:rsidR="00186F35" w:rsidRPr="00186F35" w:rsidRDefault="00186F35" w:rsidP="00186F35">
            <w:pPr>
              <w:jc w:val="center"/>
              <w:rPr>
                <w:rFonts w:ascii="Arial" w:hAnsi="Arial" w:cs="Arial"/>
                <w:b/>
                <w:bCs/>
                <w:color w:val="000000"/>
                <w:sz w:val="16"/>
                <w:szCs w:val="16"/>
              </w:rPr>
            </w:pPr>
            <w:r w:rsidRPr="00186F35">
              <w:rPr>
                <w:rFonts w:ascii="Arial" w:hAnsi="Arial" w:cs="Arial"/>
                <w:b/>
                <w:bCs/>
                <w:color w:val="000000"/>
                <w:sz w:val="16"/>
                <w:szCs w:val="16"/>
              </w:rPr>
              <w:t>Možnost čerpání ze stejné kapitoly následující</w:t>
            </w:r>
            <w:r w:rsidR="004E0D16">
              <w:rPr>
                <w:rFonts w:ascii="Arial" w:hAnsi="Arial" w:cs="Arial"/>
                <w:b/>
                <w:bCs/>
                <w:color w:val="000000"/>
                <w:sz w:val="16"/>
                <w:szCs w:val="16"/>
              </w:rPr>
              <w:t>ch 12 měsíců</w:t>
            </w:r>
          </w:p>
        </w:tc>
      </w:tr>
      <w:tr w:rsidR="00186F35" w:rsidRPr="00186F35" w14:paraId="036A8A76" w14:textId="77777777" w:rsidTr="00186F35">
        <w:trPr>
          <w:trHeight w:val="319"/>
        </w:trPr>
        <w:tc>
          <w:tcPr>
            <w:tcW w:w="772" w:type="dxa"/>
            <w:tcBorders>
              <w:top w:val="nil"/>
              <w:left w:val="single" w:sz="4" w:space="0" w:color="808080"/>
              <w:bottom w:val="single" w:sz="4" w:space="0" w:color="808080"/>
              <w:right w:val="single" w:sz="4" w:space="0" w:color="808080"/>
            </w:tcBorders>
            <w:shd w:val="clear" w:color="auto" w:fill="auto"/>
            <w:noWrap/>
            <w:vAlign w:val="bottom"/>
            <w:hideMark/>
          </w:tcPr>
          <w:p w14:paraId="7AD8EEF2" w14:textId="77777777" w:rsidR="00186F35" w:rsidRPr="00186F35" w:rsidRDefault="00186F35" w:rsidP="00186F35">
            <w:pPr>
              <w:jc w:val="center"/>
              <w:rPr>
                <w:rFonts w:ascii="Arial" w:hAnsi="Arial" w:cs="Arial"/>
                <w:color w:val="000000"/>
                <w:sz w:val="16"/>
                <w:szCs w:val="16"/>
              </w:rPr>
            </w:pPr>
            <w:r w:rsidRPr="00186F35">
              <w:rPr>
                <w:rFonts w:ascii="Arial" w:hAnsi="Arial" w:cs="Arial"/>
                <w:color w:val="000000"/>
                <w:sz w:val="16"/>
                <w:szCs w:val="16"/>
              </w:rPr>
              <w:t>1</w:t>
            </w:r>
          </w:p>
        </w:tc>
        <w:tc>
          <w:tcPr>
            <w:tcW w:w="1208" w:type="dxa"/>
            <w:tcBorders>
              <w:top w:val="nil"/>
              <w:left w:val="nil"/>
              <w:bottom w:val="single" w:sz="4" w:space="0" w:color="808080"/>
              <w:right w:val="single" w:sz="4" w:space="0" w:color="808080"/>
            </w:tcBorders>
            <w:shd w:val="clear" w:color="auto" w:fill="auto"/>
            <w:noWrap/>
            <w:vAlign w:val="bottom"/>
            <w:hideMark/>
          </w:tcPr>
          <w:p w14:paraId="6F53A3A3" w14:textId="77777777" w:rsidR="00186F35" w:rsidRPr="00186F35" w:rsidRDefault="00186F35" w:rsidP="00186F35">
            <w:pPr>
              <w:jc w:val="right"/>
              <w:rPr>
                <w:rFonts w:ascii="Arial" w:hAnsi="Arial" w:cs="Arial"/>
                <w:color w:val="000000"/>
                <w:sz w:val="16"/>
                <w:szCs w:val="16"/>
              </w:rPr>
            </w:pPr>
            <w:r w:rsidRPr="00186F35">
              <w:rPr>
                <w:rFonts w:ascii="Arial" w:hAnsi="Arial" w:cs="Arial"/>
                <w:color w:val="000000"/>
                <w:sz w:val="16"/>
                <w:szCs w:val="16"/>
              </w:rPr>
              <w:t>1 200 000</w:t>
            </w:r>
          </w:p>
        </w:tc>
        <w:tc>
          <w:tcPr>
            <w:tcW w:w="3260" w:type="dxa"/>
            <w:tcBorders>
              <w:top w:val="nil"/>
              <w:left w:val="nil"/>
              <w:bottom w:val="single" w:sz="4" w:space="0" w:color="808080"/>
              <w:right w:val="single" w:sz="4" w:space="0" w:color="808080"/>
            </w:tcBorders>
            <w:shd w:val="clear" w:color="auto" w:fill="auto"/>
            <w:vAlign w:val="bottom"/>
            <w:hideMark/>
          </w:tcPr>
          <w:p w14:paraId="76B98971" w14:textId="77777777" w:rsidR="00186F35" w:rsidRPr="00186F35" w:rsidRDefault="00186F35" w:rsidP="00186F35">
            <w:pPr>
              <w:rPr>
                <w:rFonts w:ascii="Arial" w:hAnsi="Arial" w:cs="Arial"/>
                <w:color w:val="000000"/>
                <w:sz w:val="16"/>
                <w:szCs w:val="16"/>
              </w:rPr>
            </w:pPr>
            <w:r w:rsidRPr="00186F35">
              <w:rPr>
                <w:rFonts w:ascii="Arial" w:hAnsi="Arial" w:cs="Arial"/>
                <w:color w:val="000000"/>
                <w:sz w:val="16"/>
                <w:szCs w:val="16"/>
              </w:rPr>
              <w:t>měsíčně, pravidelná paušální platba</w:t>
            </w:r>
          </w:p>
        </w:tc>
        <w:tc>
          <w:tcPr>
            <w:tcW w:w="2552" w:type="dxa"/>
            <w:tcBorders>
              <w:top w:val="nil"/>
              <w:left w:val="nil"/>
              <w:bottom w:val="single" w:sz="4" w:space="0" w:color="808080"/>
              <w:right w:val="single" w:sz="4" w:space="0" w:color="808080"/>
            </w:tcBorders>
            <w:shd w:val="clear" w:color="auto" w:fill="auto"/>
            <w:noWrap/>
            <w:vAlign w:val="bottom"/>
            <w:hideMark/>
          </w:tcPr>
          <w:p w14:paraId="46DA9D2D" w14:textId="77777777" w:rsidR="00186F35" w:rsidRPr="00186F35" w:rsidRDefault="00186F35" w:rsidP="00186F35">
            <w:pPr>
              <w:rPr>
                <w:rFonts w:ascii="Arial" w:hAnsi="Arial" w:cs="Arial"/>
                <w:color w:val="000000"/>
                <w:sz w:val="16"/>
                <w:szCs w:val="16"/>
              </w:rPr>
            </w:pPr>
            <w:r w:rsidRPr="00186F35">
              <w:rPr>
                <w:rFonts w:ascii="Arial" w:hAnsi="Arial" w:cs="Arial"/>
                <w:color w:val="000000"/>
                <w:sz w:val="16"/>
                <w:szCs w:val="16"/>
              </w:rPr>
              <w:t>Ne</w:t>
            </w:r>
          </w:p>
        </w:tc>
        <w:tc>
          <w:tcPr>
            <w:tcW w:w="1984" w:type="dxa"/>
            <w:tcBorders>
              <w:top w:val="nil"/>
              <w:left w:val="nil"/>
              <w:bottom w:val="single" w:sz="4" w:space="0" w:color="808080"/>
              <w:right w:val="single" w:sz="4" w:space="0" w:color="808080"/>
            </w:tcBorders>
            <w:shd w:val="clear" w:color="auto" w:fill="auto"/>
            <w:noWrap/>
            <w:vAlign w:val="bottom"/>
            <w:hideMark/>
          </w:tcPr>
          <w:p w14:paraId="4BCC9B31" w14:textId="77777777" w:rsidR="00186F35" w:rsidRPr="00186F35" w:rsidRDefault="00186F35" w:rsidP="00186F35">
            <w:pPr>
              <w:rPr>
                <w:rFonts w:ascii="Arial" w:hAnsi="Arial" w:cs="Arial"/>
                <w:color w:val="000000"/>
                <w:sz w:val="16"/>
                <w:szCs w:val="16"/>
              </w:rPr>
            </w:pPr>
            <w:r w:rsidRPr="00186F35">
              <w:rPr>
                <w:rFonts w:ascii="Arial" w:hAnsi="Arial" w:cs="Arial"/>
                <w:color w:val="000000"/>
                <w:sz w:val="16"/>
                <w:szCs w:val="16"/>
              </w:rPr>
              <w:t>Ne</w:t>
            </w:r>
          </w:p>
        </w:tc>
      </w:tr>
      <w:tr w:rsidR="00186F35" w:rsidRPr="00186F35" w14:paraId="0A914380" w14:textId="77777777" w:rsidTr="00186F35">
        <w:trPr>
          <w:trHeight w:val="319"/>
        </w:trPr>
        <w:tc>
          <w:tcPr>
            <w:tcW w:w="772" w:type="dxa"/>
            <w:tcBorders>
              <w:top w:val="nil"/>
              <w:left w:val="single" w:sz="4" w:space="0" w:color="808080"/>
              <w:bottom w:val="single" w:sz="4" w:space="0" w:color="808080"/>
              <w:right w:val="single" w:sz="4" w:space="0" w:color="808080"/>
            </w:tcBorders>
            <w:shd w:val="clear" w:color="auto" w:fill="auto"/>
            <w:noWrap/>
            <w:vAlign w:val="bottom"/>
            <w:hideMark/>
          </w:tcPr>
          <w:p w14:paraId="294E744F" w14:textId="77777777" w:rsidR="00186F35" w:rsidRPr="00186F35" w:rsidRDefault="00186F35" w:rsidP="00186F35">
            <w:pPr>
              <w:jc w:val="center"/>
              <w:rPr>
                <w:rFonts w:ascii="Arial" w:hAnsi="Arial" w:cs="Arial"/>
                <w:color w:val="000000"/>
                <w:sz w:val="16"/>
                <w:szCs w:val="16"/>
              </w:rPr>
            </w:pPr>
            <w:r w:rsidRPr="00186F35">
              <w:rPr>
                <w:rFonts w:ascii="Arial" w:hAnsi="Arial" w:cs="Arial"/>
                <w:color w:val="000000"/>
                <w:sz w:val="16"/>
                <w:szCs w:val="16"/>
              </w:rPr>
              <w:t>2</w:t>
            </w:r>
          </w:p>
        </w:tc>
        <w:tc>
          <w:tcPr>
            <w:tcW w:w="1208" w:type="dxa"/>
            <w:tcBorders>
              <w:top w:val="nil"/>
              <w:left w:val="nil"/>
              <w:bottom w:val="single" w:sz="4" w:space="0" w:color="808080"/>
              <w:right w:val="single" w:sz="4" w:space="0" w:color="808080"/>
            </w:tcBorders>
            <w:shd w:val="clear" w:color="auto" w:fill="auto"/>
            <w:noWrap/>
            <w:vAlign w:val="bottom"/>
            <w:hideMark/>
          </w:tcPr>
          <w:p w14:paraId="41D0D151" w14:textId="77777777" w:rsidR="00186F35" w:rsidRPr="00186F35" w:rsidRDefault="00186F35" w:rsidP="00186F35">
            <w:pPr>
              <w:jc w:val="right"/>
              <w:rPr>
                <w:rFonts w:ascii="Arial" w:hAnsi="Arial" w:cs="Arial"/>
                <w:color w:val="000000"/>
                <w:sz w:val="16"/>
                <w:szCs w:val="16"/>
              </w:rPr>
            </w:pPr>
            <w:r w:rsidRPr="00186F35">
              <w:rPr>
                <w:rFonts w:ascii="Arial" w:hAnsi="Arial" w:cs="Arial"/>
                <w:color w:val="000000"/>
                <w:sz w:val="16"/>
                <w:szCs w:val="16"/>
              </w:rPr>
              <w:t>500 000</w:t>
            </w:r>
          </w:p>
        </w:tc>
        <w:tc>
          <w:tcPr>
            <w:tcW w:w="3260" w:type="dxa"/>
            <w:tcBorders>
              <w:top w:val="nil"/>
              <w:left w:val="nil"/>
              <w:bottom w:val="single" w:sz="4" w:space="0" w:color="808080"/>
              <w:right w:val="single" w:sz="4" w:space="0" w:color="808080"/>
            </w:tcBorders>
            <w:shd w:val="clear" w:color="auto" w:fill="auto"/>
            <w:vAlign w:val="bottom"/>
            <w:hideMark/>
          </w:tcPr>
          <w:p w14:paraId="02FAE95F" w14:textId="77777777" w:rsidR="00186F35" w:rsidRPr="00186F35" w:rsidRDefault="00186F35" w:rsidP="00186F35">
            <w:pPr>
              <w:rPr>
                <w:rFonts w:ascii="Arial" w:hAnsi="Arial" w:cs="Arial"/>
                <w:color w:val="000000"/>
                <w:sz w:val="16"/>
                <w:szCs w:val="16"/>
              </w:rPr>
            </w:pPr>
            <w:r w:rsidRPr="00186F35">
              <w:rPr>
                <w:rFonts w:ascii="Arial" w:hAnsi="Arial" w:cs="Arial"/>
                <w:color w:val="000000"/>
                <w:sz w:val="16"/>
                <w:szCs w:val="16"/>
              </w:rPr>
              <w:t>měsíčně dle výkazu práce</w:t>
            </w:r>
          </w:p>
        </w:tc>
        <w:tc>
          <w:tcPr>
            <w:tcW w:w="2552" w:type="dxa"/>
            <w:tcBorders>
              <w:top w:val="nil"/>
              <w:left w:val="nil"/>
              <w:bottom w:val="single" w:sz="4" w:space="0" w:color="808080"/>
              <w:right w:val="single" w:sz="4" w:space="0" w:color="808080"/>
            </w:tcBorders>
            <w:shd w:val="clear" w:color="auto" w:fill="auto"/>
            <w:noWrap/>
            <w:vAlign w:val="bottom"/>
            <w:hideMark/>
          </w:tcPr>
          <w:p w14:paraId="6ED785ED" w14:textId="77777777" w:rsidR="00186F35" w:rsidRPr="00186F35" w:rsidRDefault="00186F35" w:rsidP="00186F35">
            <w:pPr>
              <w:rPr>
                <w:rFonts w:ascii="Arial" w:hAnsi="Arial" w:cs="Arial"/>
                <w:color w:val="000000"/>
                <w:sz w:val="16"/>
                <w:szCs w:val="16"/>
              </w:rPr>
            </w:pPr>
            <w:r w:rsidRPr="00186F35">
              <w:rPr>
                <w:rFonts w:ascii="Arial" w:hAnsi="Arial" w:cs="Arial"/>
                <w:color w:val="000000"/>
                <w:sz w:val="16"/>
                <w:szCs w:val="16"/>
              </w:rPr>
              <w:t xml:space="preserve">Ano, mimo kapitoly 1, </w:t>
            </w:r>
            <w:proofErr w:type="spellStart"/>
            <w:r w:rsidRPr="00186F35">
              <w:rPr>
                <w:rFonts w:ascii="Arial" w:hAnsi="Arial" w:cs="Arial"/>
                <w:color w:val="000000"/>
                <w:sz w:val="16"/>
                <w:szCs w:val="16"/>
              </w:rPr>
              <w:t>max</w:t>
            </w:r>
            <w:proofErr w:type="spellEnd"/>
            <w:r w:rsidRPr="00186F35">
              <w:rPr>
                <w:rFonts w:ascii="Arial" w:hAnsi="Arial" w:cs="Arial"/>
                <w:color w:val="000000"/>
                <w:sz w:val="16"/>
                <w:szCs w:val="16"/>
              </w:rPr>
              <w:t xml:space="preserve"> 50 %</w:t>
            </w:r>
          </w:p>
        </w:tc>
        <w:tc>
          <w:tcPr>
            <w:tcW w:w="1984" w:type="dxa"/>
            <w:tcBorders>
              <w:top w:val="nil"/>
              <w:left w:val="nil"/>
              <w:bottom w:val="single" w:sz="4" w:space="0" w:color="808080"/>
              <w:right w:val="single" w:sz="4" w:space="0" w:color="808080"/>
            </w:tcBorders>
            <w:shd w:val="clear" w:color="auto" w:fill="auto"/>
            <w:noWrap/>
            <w:vAlign w:val="bottom"/>
            <w:hideMark/>
          </w:tcPr>
          <w:p w14:paraId="5D39B994" w14:textId="77777777" w:rsidR="00186F35" w:rsidRPr="00186F35" w:rsidRDefault="00186F35" w:rsidP="00186F35">
            <w:pPr>
              <w:rPr>
                <w:rFonts w:ascii="Arial" w:hAnsi="Arial" w:cs="Arial"/>
                <w:color w:val="000000"/>
                <w:sz w:val="16"/>
                <w:szCs w:val="16"/>
              </w:rPr>
            </w:pPr>
            <w:r w:rsidRPr="00186F35">
              <w:rPr>
                <w:rFonts w:ascii="Arial" w:hAnsi="Arial" w:cs="Arial"/>
                <w:color w:val="000000"/>
                <w:sz w:val="16"/>
                <w:szCs w:val="16"/>
              </w:rPr>
              <w:t xml:space="preserve">Ano, </w:t>
            </w:r>
            <w:proofErr w:type="spellStart"/>
            <w:r w:rsidRPr="00186F35">
              <w:rPr>
                <w:rFonts w:ascii="Arial" w:hAnsi="Arial" w:cs="Arial"/>
                <w:color w:val="000000"/>
                <w:sz w:val="16"/>
                <w:szCs w:val="16"/>
              </w:rPr>
              <w:t>max</w:t>
            </w:r>
            <w:proofErr w:type="spellEnd"/>
            <w:r w:rsidRPr="00186F35">
              <w:rPr>
                <w:rFonts w:ascii="Arial" w:hAnsi="Arial" w:cs="Arial"/>
                <w:color w:val="000000"/>
                <w:sz w:val="16"/>
                <w:szCs w:val="16"/>
              </w:rPr>
              <w:t xml:space="preserve"> 25 %</w:t>
            </w:r>
          </w:p>
        </w:tc>
      </w:tr>
      <w:tr w:rsidR="00186F35" w:rsidRPr="00186F35" w14:paraId="2FACEE1A" w14:textId="77777777" w:rsidTr="00186F35">
        <w:trPr>
          <w:trHeight w:val="319"/>
        </w:trPr>
        <w:tc>
          <w:tcPr>
            <w:tcW w:w="772" w:type="dxa"/>
            <w:tcBorders>
              <w:top w:val="nil"/>
              <w:left w:val="single" w:sz="4" w:space="0" w:color="808080"/>
              <w:bottom w:val="single" w:sz="4" w:space="0" w:color="808080"/>
              <w:right w:val="single" w:sz="4" w:space="0" w:color="808080"/>
            </w:tcBorders>
            <w:shd w:val="clear" w:color="auto" w:fill="auto"/>
            <w:noWrap/>
            <w:vAlign w:val="bottom"/>
            <w:hideMark/>
          </w:tcPr>
          <w:p w14:paraId="01D74C16" w14:textId="77777777" w:rsidR="00186F35" w:rsidRPr="00186F35" w:rsidRDefault="00186F35" w:rsidP="00186F35">
            <w:pPr>
              <w:jc w:val="center"/>
              <w:rPr>
                <w:rFonts w:ascii="Arial" w:hAnsi="Arial" w:cs="Arial"/>
                <w:color w:val="000000"/>
                <w:sz w:val="16"/>
                <w:szCs w:val="16"/>
              </w:rPr>
            </w:pPr>
            <w:r w:rsidRPr="00186F35">
              <w:rPr>
                <w:rFonts w:ascii="Arial" w:hAnsi="Arial" w:cs="Arial"/>
                <w:color w:val="000000"/>
                <w:sz w:val="16"/>
                <w:szCs w:val="16"/>
              </w:rPr>
              <w:t>3</w:t>
            </w:r>
          </w:p>
        </w:tc>
        <w:tc>
          <w:tcPr>
            <w:tcW w:w="1208" w:type="dxa"/>
            <w:tcBorders>
              <w:top w:val="nil"/>
              <w:left w:val="nil"/>
              <w:bottom w:val="single" w:sz="4" w:space="0" w:color="808080"/>
              <w:right w:val="single" w:sz="4" w:space="0" w:color="808080"/>
            </w:tcBorders>
            <w:shd w:val="clear" w:color="auto" w:fill="auto"/>
            <w:noWrap/>
            <w:vAlign w:val="bottom"/>
            <w:hideMark/>
          </w:tcPr>
          <w:p w14:paraId="3B8E9F84" w14:textId="77777777" w:rsidR="00186F35" w:rsidRPr="00186F35" w:rsidRDefault="00186F35" w:rsidP="00186F35">
            <w:pPr>
              <w:jc w:val="right"/>
              <w:rPr>
                <w:rFonts w:ascii="Arial" w:hAnsi="Arial" w:cs="Arial"/>
                <w:color w:val="000000"/>
                <w:sz w:val="16"/>
                <w:szCs w:val="16"/>
              </w:rPr>
            </w:pPr>
            <w:r w:rsidRPr="00186F35">
              <w:rPr>
                <w:rFonts w:ascii="Arial" w:hAnsi="Arial" w:cs="Arial"/>
                <w:color w:val="000000"/>
                <w:sz w:val="16"/>
                <w:szCs w:val="16"/>
              </w:rPr>
              <w:t>300 000</w:t>
            </w:r>
          </w:p>
        </w:tc>
        <w:tc>
          <w:tcPr>
            <w:tcW w:w="3260" w:type="dxa"/>
            <w:tcBorders>
              <w:top w:val="nil"/>
              <w:left w:val="nil"/>
              <w:bottom w:val="single" w:sz="4" w:space="0" w:color="808080"/>
              <w:right w:val="single" w:sz="4" w:space="0" w:color="808080"/>
            </w:tcBorders>
            <w:shd w:val="clear" w:color="auto" w:fill="auto"/>
            <w:vAlign w:val="bottom"/>
            <w:hideMark/>
          </w:tcPr>
          <w:p w14:paraId="698A5548" w14:textId="77777777" w:rsidR="00186F35" w:rsidRPr="00186F35" w:rsidRDefault="00186F35" w:rsidP="00186F35">
            <w:pPr>
              <w:rPr>
                <w:rFonts w:ascii="Arial" w:hAnsi="Arial" w:cs="Arial"/>
                <w:color w:val="000000"/>
                <w:sz w:val="16"/>
                <w:szCs w:val="16"/>
              </w:rPr>
            </w:pPr>
            <w:r w:rsidRPr="00186F35">
              <w:rPr>
                <w:rFonts w:ascii="Arial" w:hAnsi="Arial" w:cs="Arial"/>
                <w:color w:val="000000"/>
                <w:sz w:val="16"/>
                <w:szCs w:val="16"/>
              </w:rPr>
              <w:t>provedené práce dle odsouhlasené nabídky</w:t>
            </w:r>
          </w:p>
        </w:tc>
        <w:tc>
          <w:tcPr>
            <w:tcW w:w="2552" w:type="dxa"/>
            <w:tcBorders>
              <w:top w:val="nil"/>
              <w:left w:val="nil"/>
              <w:bottom w:val="single" w:sz="4" w:space="0" w:color="808080"/>
              <w:right w:val="single" w:sz="4" w:space="0" w:color="808080"/>
            </w:tcBorders>
            <w:shd w:val="clear" w:color="auto" w:fill="auto"/>
            <w:noWrap/>
            <w:vAlign w:val="bottom"/>
            <w:hideMark/>
          </w:tcPr>
          <w:p w14:paraId="7AF6A330" w14:textId="77777777" w:rsidR="00186F35" w:rsidRPr="00186F35" w:rsidRDefault="00186F35" w:rsidP="00186F35">
            <w:pPr>
              <w:rPr>
                <w:rFonts w:ascii="Arial" w:hAnsi="Arial" w:cs="Arial"/>
                <w:color w:val="000000"/>
                <w:sz w:val="16"/>
                <w:szCs w:val="16"/>
              </w:rPr>
            </w:pPr>
            <w:r w:rsidRPr="00186F35">
              <w:rPr>
                <w:rFonts w:ascii="Arial" w:hAnsi="Arial" w:cs="Arial"/>
                <w:color w:val="000000"/>
                <w:sz w:val="16"/>
                <w:szCs w:val="16"/>
              </w:rPr>
              <w:t xml:space="preserve">Ano, mimo kapitoly 1, </w:t>
            </w:r>
            <w:proofErr w:type="spellStart"/>
            <w:r w:rsidRPr="00186F35">
              <w:rPr>
                <w:rFonts w:ascii="Arial" w:hAnsi="Arial" w:cs="Arial"/>
                <w:color w:val="000000"/>
                <w:sz w:val="16"/>
                <w:szCs w:val="16"/>
              </w:rPr>
              <w:t>max</w:t>
            </w:r>
            <w:proofErr w:type="spellEnd"/>
            <w:r w:rsidRPr="00186F35">
              <w:rPr>
                <w:rFonts w:ascii="Arial" w:hAnsi="Arial" w:cs="Arial"/>
                <w:color w:val="000000"/>
                <w:sz w:val="16"/>
                <w:szCs w:val="16"/>
              </w:rPr>
              <w:t xml:space="preserve"> 50 %</w:t>
            </w:r>
          </w:p>
        </w:tc>
        <w:tc>
          <w:tcPr>
            <w:tcW w:w="1984" w:type="dxa"/>
            <w:tcBorders>
              <w:top w:val="nil"/>
              <w:left w:val="nil"/>
              <w:bottom w:val="single" w:sz="4" w:space="0" w:color="808080"/>
              <w:right w:val="single" w:sz="4" w:space="0" w:color="808080"/>
            </w:tcBorders>
            <w:shd w:val="clear" w:color="auto" w:fill="auto"/>
            <w:noWrap/>
            <w:vAlign w:val="bottom"/>
            <w:hideMark/>
          </w:tcPr>
          <w:p w14:paraId="62DF6830" w14:textId="77777777" w:rsidR="00186F35" w:rsidRPr="00186F35" w:rsidRDefault="00186F35" w:rsidP="00186F35">
            <w:pPr>
              <w:rPr>
                <w:rFonts w:ascii="Arial" w:hAnsi="Arial" w:cs="Arial"/>
                <w:color w:val="000000"/>
                <w:sz w:val="16"/>
                <w:szCs w:val="16"/>
              </w:rPr>
            </w:pPr>
            <w:r w:rsidRPr="00186F35">
              <w:rPr>
                <w:rFonts w:ascii="Arial" w:hAnsi="Arial" w:cs="Arial"/>
                <w:color w:val="000000"/>
                <w:sz w:val="16"/>
                <w:szCs w:val="16"/>
              </w:rPr>
              <w:t xml:space="preserve">Ano, </w:t>
            </w:r>
            <w:proofErr w:type="spellStart"/>
            <w:r w:rsidRPr="00186F35">
              <w:rPr>
                <w:rFonts w:ascii="Arial" w:hAnsi="Arial" w:cs="Arial"/>
                <w:color w:val="000000"/>
                <w:sz w:val="16"/>
                <w:szCs w:val="16"/>
              </w:rPr>
              <w:t>max</w:t>
            </w:r>
            <w:proofErr w:type="spellEnd"/>
            <w:r w:rsidRPr="00186F35">
              <w:rPr>
                <w:rFonts w:ascii="Arial" w:hAnsi="Arial" w:cs="Arial"/>
                <w:color w:val="000000"/>
                <w:sz w:val="16"/>
                <w:szCs w:val="16"/>
              </w:rPr>
              <w:t xml:space="preserve"> 25 %</w:t>
            </w:r>
          </w:p>
        </w:tc>
      </w:tr>
      <w:tr w:rsidR="00186F35" w:rsidRPr="00186F35" w14:paraId="3645117A" w14:textId="77777777" w:rsidTr="00186F35">
        <w:trPr>
          <w:trHeight w:val="319"/>
        </w:trPr>
        <w:tc>
          <w:tcPr>
            <w:tcW w:w="772" w:type="dxa"/>
            <w:tcBorders>
              <w:top w:val="nil"/>
              <w:left w:val="single" w:sz="4" w:space="0" w:color="808080"/>
              <w:bottom w:val="single" w:sz="4" w:space="0" w:color="808080"/>
              <w:right w:val="single" w:sz="4" w:space="0" w:color="808080"/>
            </w:tcBorders>
            <w:shd w:val="clear" w:color="auto" w:fill="auto"/>
            <w:noWrap/>
            <w:vAlign w:val="bottom"/>
            <w:hideMark/>
          </w:tcPr>
          <w:p w14:paraId="18372E2B" w14:textId="77777777" w:rsidR="00186F35" w:rsidRPr="00186F35" w:rsidRDefault="00186F35" w:rsidP="00186F35">
            <w:pPr>
              <w:jc w:val="center"/>
              <w:rPr>
                <w:rFonts w:ascii="Arial" w:hAnsi="Arial" w:cs="Arial"/>
                <w:color w:val="000000"/>
                <w:sz w:val="16"/>
                <w:szCs w:val="16"/>
              </w:rPr>
            </w:pPr>
            <w:r w:rsidRPr="00186F35">
              <w:rPr>
                <w:rFonts w:ascii="Arial" w:hAnsi="Arial" w:cs="Arial"/>
                <w:color w:val="000000"/>
                <w:sz w:val="16"/>
                <w:szCs w:val="16"/>
              </w:rPr>
              <w:t>4</w:t>
            </w:r>
          </w:p>
        </w:tc>
        <w:tc>
          <w:tcPr>
            <w:tcW w:w="1208" w:type="dxa"/>
            <w:tcBorders>
              <w:top w:val="nil"/>
              <w:left w:val="nil"/>
              <w:bottom w:val="single" w:sz="4" w:space="0" w:color="808080"/>
              <w:right w:val="single" w:sz="4" w:space="0" w:color="808080"/>
            </w:tcBorders>
            <w:shd w:val="clear" w:color="auto" w:fill="auto"/>
            <w:noWrap/>
            <w:vAlign w:val="bottom"/>
            <w:hideMark/>
          </w:tcPr>
          <w:p w14:paraId="17F2EF7B" w14:textId="77777777" w:rsidR="00186F35" w:rsidRPr="00186F35" w:rsidRDefault="00186F35" w:rsidP="00186F35">
            <w:pPr>
              <w:jc w:val="right"/>
              <w:rPr>
                <w:rFonts w:ascii="Arial" w:hAnsi="Arial" w:cs="Arial"/>
                <w:color w:val="000000"/>
                <w:sz w:val="16"/>
                <w:szCs w:val="16"/>
              </w:rPr>
            </w:pPr>
            <w:r w:rsidRPr="00186F35">
              <w:rPr>
                <w:rFonts w:ascii="Arial" w:hAnsi="Arial" w:cs="Arial"/>
                <w:color w:val="000000"/>
                <w:sz w:val="16"/>
                <w:szCs w:val="16"/>
              </w:rPr>
              <w:t>1 000 000</w:t>
            </w:r>
          </w:p>
        </w:tc>
        <w:tc>
          <w:tcPr>
            <w:tcW w:w="3260" w:type="dxa"/>
            <w:tcBorders>
              <w:top w:val="nil"/>
              <w:left w:val="nil"/>
              <w:bottom w:val="single" w:sz="4" w:space="0" w:color="808080"/>
              <w:right w:val="single" w:sz="4" w:space="0" w:color="808080"/>
            </w:tcBorders>
            <w:shd w:val="clear" w:color="auto" w:fill="auto"/>
            <w:vAlign w:val="bottom"/>
            <w:hideMark/>
          </w:tcPr>
          <w:p w14:paraId="5DD9FC93" w14:textId="77777777" w:rsidR="00186F35" w:rsidRPr="00186F35" w:rsidRDefault="00186F35" w:rsidP="00186F35">
            <w:pPr>
              <w:rPr>
                <w:rFonts w:ascii="Arial" w:hAnsi="Arial" w:cs="Arial"/>
                <w:color w:val="000000"/>
                <w:sz w:val="16"/>
                <w:szCs w:val="16"/>
              </w:rPr>
            </w:pPr>
            <w:r w:rsidRPr="00186F35">
              <w:rPr>
                <w:rFonts w:ascii="Arial" w:hAnsi="Arial" w:cs="Arial"/>
                <w:color w:val="000000"/>
                <w:sz w:val="16"/>
                <w:szCs w:val="16"/>
              </w:rPr>
              <w:t>ročně dle odsouhlasené nabídky</w:t>
            </w:r>
          </w:p>
        </w:tc>
        <w:tc>
          <w:tcPr>
            <w:tcW w:w="2552" w:type="dxa"/>
            <w:tcBorders>
              <w:top w:val="nil"/>
              <w:left w:val="nil"/>
              <w:bottom w:val="single" w:sz="4" w:space="0" w:color="808080"/>
              <w:right w:val="single" w:sz="4" w:space="0" w:color="808080"/>
            </w:tcBorders>
            <w:shd w:val="clear" w:color="auto" w:fill="auto"/>
            <w:noWrap/>
            <w:vAlign w:val="bottom"/>
            <w:hideMark/>
          </w:tcPr>
          <w:p w14:paraId="0EBB8AC4" w14:textId="77777777" w:rsidR="00186F35" w:rsidRPr="00186F35" w:rsidRDefault="00186F35" w:rsidP="00186F35">
            <w:pPr>
              <w:rPr>
                <w:rFonts w:ascii="Arial" w:hAnsi="Arial" w:cs="Arial"/>
                <w:color w:val="000000"/>
                <w:sz w:val="16"/>
                <w:szCs w:val="16"/>
              </w:rPr>
            </w:pPr>
            <w:r w:rsidRPr="00186F35">
              <w:rPr>
                <w:rFonts w:ascii="Arial" w:hAnsi="Arial" w:cs="Arial"/>
                <w:color w:val="000000"/>
                <w:sz w:val="16"/>
                <w:szCs w:val="16"/>
              </w:rPr>
              <w:t xml:space="preserve">Ano, mimo kapitoly 1, </w:t>
            </w:r>
            <w:proofErr w:type="spellStart"/>
            <w:r w:rsidRPr="00186F35">
              <w:rPr>
                <w:rFonts w:ascii="Arial" w:hAnsi="Arial" w:cs="Arial"/>
                <w:color w:val="000000"/>
                <w:sz w:val="16"/>
                <w:szCs w:val="16"/>
              </w:rPr>
              <w:t>max</w:t>
            </w:r>
            <w:proofErr w:type="spellEnd"/>
            <w:r w:rsidRPr="00186F35">
              <w:rPr>
                <w:rFonts w:ascii="Arial" w:hAnsi="Arial" w:cs="Arial"/>
                <w:color w:val="000000"/>
                <w:sz w:val="16"/>
                <w:szCs w:val="16"/>
              </w:rPr>
              <w:t xml:space="preserve"> 20 %</w:t>
            </w:r>
          </w:p>
        </w:tc>
        <w:tc>
          <w:tcPr>
            <w:tcW w:w="1984" w:type="dxa"/>
            <w:tcBorders>
              <w:top w:val="nil"/>
              <w:left w:val="nil"/>
              <w:bottom w:val="single" w:sz="4" w:space="0" w:color="808080"/>
              <w:right w:val="single" w:sz="4" w:space="0" w:color="808080"/>
            </w:tcBorders>
            <w:shd w:val="clear" w:color="auto" w:fill="auto"/>
            <w:noWrap/>
            <w:vAlign w:val="bottom"/>
            <w:hideMark/>
          </w:tcPr>
          <w:p w14:paraId="4BC7423E" w14:textId="77777777" w:rsidR="00186F35" w:rsidRPr="00186F35" w:rsidRDefault="00186F35" w:rsidP="00186F35">
            <w:pPr>
              <w:rPr>
                <w:rFonts w:ascii="Arial" w:hAnsi="Arial" w:cs="Arial"/>
                <w:color w:val="000000"/>
                <w:sz w:val="16"/>
                <w:szCs w:val="16"/>
              </w:rPr>
            </w:pPr>
            <w:r w:rsidRPr="00186F35">
              <w:rPr>
                <w:rFonts w:ascii="Arial" w:hAnsi="Arial" w:cs="Arial"/>
                <w:color w:val="000000"/>
                <w:sz w:val="16"/>
                <w:szCs w:val="16"/>
              </w:rPr>
              <w:t xml:space="preserve">Ano, </w:t>
            </w:r>
            <w:proofErr w:type="spellStart"/>
            <w:r w:rsidRPr="00186F35">
              <w:rPr>
                <w:rFonts w:ascii="Arial" w:hAnsi="Arial" w:cs="Arial"/>
                <w:color w:val="000000"/>
                <w:sz w:val="16"/>
                <w:szCs w:val="16"/>
              </w:rPr>
              <w:t>max</w:t>
            </w:r>
            <w:proofErr w:type="spellEnd"/>
            <w:r w:rsidRPr="00186F35">
              <w:rPr>
                <w:rFonts w:ascii="Arial" w:hAnsi="Arial" w:cs="Arial"/>
                <w:color w:val="000000"/>
                <w:sz w:val="16"/>
                <w:szCs w:val="16"/>
              </w:rPr>
              <w:t xml:space="preserve"> 25 %</w:t>
            </w:r>
          </w:p>
        </w:tc>
      </w:tr>
    </w:tbl>
    <w:p w14:paraId="6FBA4D18" w14:textId="5257956E" w:rsidR="00907514" w:rsidRPr="00D22838" w:rsidRDefault="00907514" w:rsidP="000940CF">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Ceny uvedené v</w:t>
      </w:r>
      <w:r w:rsidR="005E13DA" w:rsidRPr="00D22838">
        <w:rPr>
          <w:rFonts w:ascii="Arial" w:hAnsi="Arial" w:cs="Arial"/>
          <w:sz w:val="22"/>
          <w:szCs w:val="22"/>
        </w:rPr>
        <w:t> </w:t>
      </w:r>
      <w:r w:rsidR="008B5543" w:rsidRPr="00D22838">
        <w:rPr>
          <w:rFonts w:ascii="Arial" w:hAnsi="Arial" w:cs="Arial"/>
          <w:sz w:val="22"/>
          <w:szCs w:val="22"/>
        </w:rPr>
        <w:t>Dohodě jsou ceny smluvní, pevné a neměnné a nepřekročitelné.</w:t>
      </w:r>
    </w:p>
    <w:p w14:paraId="27F88598" w14:textId="11B674E7" w:rsidR="00630EEF" w:rsidRPr="00D22838" w:rsidRDefault="00630EEF" w:rsidP="00B03793">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Celková cena za kompletní </w:t>
      </w:r>
      <w:r w:rsidR="004227F3" w:rsidRPr="00D22838">
        <w:rPr>
          <w:rFonts w:ascii="Arial" w:hAnsi="Arial" w:cs="Arial"/>
          <w:sz w:val="22"/>
          <w:szCs w:val="22"/>
        </w:rPr>
        <w:t>dodávku služeb „</w:t>
      </w:r>
      <w:r w:rsidR="00B03793" w:rsidRPr="00F43DFA">
        <w:rPr>
          <w:rFonts w:ascii="Arial" w:hAnsi="Arial" w:cs="Arial"/>
          <w:sz w:val="22"/>
          <w:szCs w:val="22"/>
        </w:rPr>
        <w:t>Zajištění technologické podpory HW IBM a Intel na 4 roky</w:t>
      </w:r>
      <w:r w:rsidR="004227F3" w:rsidRPr="00D22838">
        <w:rPr>
          <w:rFonts w:ascii="Arial" w:hAnsi="Arial" w:cs="Arial"/>
          <w:sz w:val="22"/>
          <w:szCs w:val="22"/>
        </w:rPr>
        <w:t>“</w:t>
      </w:r>
      <w:r w:rsidR="001A6560" w:rsidRPr="00D22838">
        <w:rPr>
          <w:rFonts w:ascii="Arial" w:hAnsi="Arial" w:cs="Arial"/>
          <w:sz w:val="22"/>
          <w:szCs w:val="22"/>
        </w:rPr>
        <w:t xml:space="preserve"> </w:t>
      </w:r>
      <w:r w:rsidRPr="00D22838">
        <w:rPr>
          <w:rFonts w:ascii="Arial" w:hAnsi="Arial" w:cs="Arial"/>
          <w:sz w:val="22"/>
          <w:szCs w:val="22"/>
        </w:rPr>
        <w:t xml:space="preserve">činí </w:t>
      </w:r>
      <w:r w:rsidR="003764A3" w:rsidRPr="00D22838">
        <w:rPr>
          <w:rFonts w:ascii="Arial" w:hAnsi="Arial" w:cs="Arial"/>
          <w:sz w:val="22"/>
          <w:szCs w:val="22"/>
        </w:rPr>
        <w:t>12 </w:t>
      </w:r>
      <w:r w:rsidR="00B03793">
        <w:rPr>
          <w:rFonts w:ascii="Arial" w:hAnsi="Arial" w:cs="Arial"/>
          <w:sz w:val="22"/>
          <w:szCs w:val="22"/>
        </w:rPr>
        <w:t>00</w:t>
      </w:r>
      <w:r w:rsidR="00003D2E">
        <w:rPr>
          <w:rFonts w:ascii="Arial" w:hAnsi="Arial" w:cs="Arial"/>
          <w:sz w:val="22"/>
          <w:szCs w:val="22"/>
        </w:rPr>
        <w:t>0</w:t>
      </w:r>
      <w:r w:rsidR="003764A3" w:rsidRPr="00D22838">
        <w:rPr>
          <w:rFonts w:ascii="Arial" w:hAnsi="Arial" w:cs="Arial"/>
          <w:sz w:val="22"/>
          <w:szCs w:val="22"/>
        </w:rPr>
        <w:t xml:space="preserve"> 000</w:t>
      </w:r>
      <w:r w:rsidRPr="00D22838">
        <w:rPr>
          <w:rFonts w:ascii="Arial" w:hAnsi="Arial" w:cs="Arial"/>
          <w:sz w:val="22"/>
          <w:szCs w:val="22"/>
        </w:rPr>
        <w:t xml:space="preserve"> Kč bez DPH (slovy</w:t>
      </w:r>
      <w:r w:rsidR="001A6560" w:rsidRPr="00D22838">
        <w:rPr>
          <w:rFonts w:ascii="Arial" w:hAnsi="Arial" w:cs="Arial"/>
          <w:sz w:val="22"/>
          <w:szCs w:val="22"/>
        </w:rPr>
        <w:t xml:space="preserve"> </w:t>
      </w:r>
      <w:r w:rsidR="00380BCD" w:rsidRPr="00D22838">
        <w:rPr>
          <w:rFonts w:ascii="Arial" w:hAnsi="Arial" w:cs="Arial"/>
          <w:sz w:val="22"/>
          <w:szCs w:val="22"/>
        </w:rPr>
        <w:t>dvanáct milionů korun českých</w:t>
      </w:r>
      <w:r w:rsidRPr="00D22838">
        <w:rPr>
          <w:rFonts w:ascii="Arial" w:hAnsi="Arial" w:cs="Arial"/>
          <w:sz w:val="22"/>
          <w:szCs w:val="22"/>
        </w:rPr>
        <w:t>)</w:t>
      </w:r>
      <w:r w:rsidR="002643A2">
        <w:rPr>
          <w:rFonts w:ascii="Arial" w:hAnsi="Arial" w:cs="Arial"/>
          <w:sz w:val="22"/>
          <w:szCs w:val="22"/>
        </w:rPr>
        <w:t xml:space="preserve">, </w:t>
      </w:r>
      <w:r w:rsidRPr="00D22838">
        <w:rPr>
          <w:rFonts w:ascii="Arial" w:hAnsi="Arial" w:cs="Arial"/>
          <w:sz w:val="22"/>
          <w:szCs w:val="22"/>
        </w:rPr>
        <w:t xml:space="preserve">(dále jen „Celková cena“), s tím, že výše DPH činí </w:t>
      </w:r>
      <w:r w:rsidR="001A6560" w:rsidRPr="00D22838">
        <w:rPr>
          <w:rFonts w:ascii="Arial" w:hAnsi="Arial" w:cs="Arial"/>
          <w:sz w:val="22"/>
          <w:szCs w:val="22"/>
        </w:rPr>
        <w:t>21%</w:t>
      </w:r>
      <w:r w:rsidRPr="00D22838">
        <w:rPr>
          <w:rFonts w:ascii="Arial" w:hAnsi="Arial" w:cs="Arial"/>
          <w:sz w:val="22"/>
          <w:szCs w:val="22"/>
        </w:rPr>
        <w:t xml:space="preserve"> a cena celkem činí </w:t>
      </w:r>
      <w:r w:rsidR="00B03793" w:rsidRPr="00B03793">
        <w:rPr>
          <w:rFonts w:ascii="Arial" w:hAnsi="Arial" w:cs="Arial"/>
          <w:sz w:val="22"/>
          <w:szCs w:val="22"/>
        </w:rPr>
        <w:t>14</w:t>
      </w:r>
      <w:r w:rsidR="00B03793">
        <w:rPr>
          <w:rFonts w:ascii="Arial" w:hAnsi="Arial" w:cs="Arial"/>
          <w:sz w:val="22"/>
          <w:szCs w:val="22"/>
        </w:rPr>
        <w:t xml:space="preserve"> </w:t>
      </w:r>
      <w:r w:rsidR="00B03793" w:rsidRPr="00B03793">
        <w:rPr>
          <w:rFonts w:ascii="Arial" w:hAnsi="Arial" w:cs="Arial"/>
          <w:sz w:val="22"/>
          <w:szCs w:val="22"/>
        </w:rPr>
        <w:t>520</w:t>
      </w:r>
      <w:r w:rsidR="00B03793">
        <w:rPr>
          <w:rFonts w:ascii="Arial" w:hAnsi="Arial" w:cs="Arial"/>
          <w:sz w:val="22"/>
          <w:szCs w:val="22"/>
        </w:rPr>
        <w:t xml:space="preserve"> </w:t>
      </w:r>
      <w:r w:rsidR="00B03793" w:rsidRPr="00B03793">
        <w:rPr>
          <w:rFonts w:ascii="Arial" w:hAnsi="Arial" w:cs="Arial"/>
          <w:sz w:val="22"/>
          <w:szCs w:val="22"/>
        </w:rPr>
        <w:t>000</w:t>
      </w:r>
      <w:r w:rsidRPr="00D22838">
        <w:rPr>
          <w:rFonts w:ascii="Arial" w:hAnsi="Arial" w:cs="Arial"/>
          <w:sz w:val="22"/>
          <w:szCs w:val="22"/>
        </w:rPr>
        <w:t>,- Kč včetně DPH.</w:t>
      </w:r>
    </w:p>
    <w:p w14:paraId="121F2AE9" w14:textId="1E169FE6" w:rsidR="001A6560" w:rsidRPr="00D22838" w:rsidRDefault="00237E19" w:rsidP="000940CF">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Úhrada ceny za plnění </w:t>
      </w:r>
      <w:r w:rsidR="00B03793">
        <w:rPr>
          <w:rFonts w:ascii="Arial" w:hAnsi="Arial" w:cs="Arial"/>
          <w:sz w:val="22"/>
          <w:szCs w:val="22"/>
        </w:rPr>
        <w:t>Kapitoly 1</w:t>
      </w:r>
      <w:r w:rsidR="00D3519D">
        <w:rPr>
          <w:rFonts w:ascii="Arial" w:hAnsi="Arial" w:cs="Arial"/>
          <w:sz w:val="22"/>
          <w:szCs w:val="22"/>
        </w:rPr>
        <w:t xml:space="preserve"> </w:t>
      </w:r>
      <w:r w:rsidR="00630EEF" w:rsidRPr="00D22838">
        <w:rPr>
          <w:rFonts w:ascii="Arial" w:hAnsi="Arial" w:cs="Arial"/>
          <w:sz w:val="22"/>
          <w:szCs w:val="22"/>
        </w:rPr>
        <w:t>Dohody</w:t>
      </w:r>
      <w:r w:rsidRPr="00D22838">
        <w:rPr>
          <w:rFonts w:ascii="Arial" w:hAnsi="Arial" w:cs="Arial"/>
          <w:sz w:val="22"/>
          <w:szCs w:val="22"/>
        </w:rPr>
        <w:t xml:space="preserve"> ze strany </w:t>
      </w:r>
      <w:r w:rsidR="005E13DA" w:rsidRPr="00D22838">
        <w:rPr>
          <w:rFonts w:ascii="Arial" w:hAnsi="Arial" w:cs="Arial"/>
          <w:sz w:val="22"/>
          <w:szCs w:val="22"/>
        </w:rPr>
        <w:t>O</w:t>
      </w:r>
      <w:r w:rsidRPr="00D22838">
        <w:rPr>
          <w:rFonts w:ascii="Arial" w:hAnsi="Arial" w:cs="Arial"/>
          <w:sz w:val="22"/>
          <w:szCs w:val="22"/>
        </w:rPr>
        <w:t>bje</w:t>
      </w:r>
      <w:r w:rsidR="00FC4BDB" w:rsidRPr="00D22838">
        <w:rPr>
          <w:rFonts w:ascii="Arial" w:hAnsi="Arial" w:cs="Arial"/>
          <w:sz w:val="22"/>
          <w:szCs w:val="22"/>
        </w:rPr>
        <w:t xml:space="preserve">dnatele </w:t>
      </w:r>
      <w:r w:rsidR="005E13DA" w:rsidRPr="00D22838">
        <w:rPr>
          <w:rFonts w:ascii="Arial" w:hAnsi="Arial" w:cs="Arial"/>
          <w:sz w:val="22"/>
          <w:szCs w:val="22"/>
        </w:rPr>
        <w:t>D</w:t>
      </w:r>
      <w:r w:rsidR="00FC4BDB" w:rsidRPr="00D22838">
        <w:rPr>
          <w:rFonts w:ascii="Arial" w:hAnsi="Arial" w:cs="Arial"/>
          <w:sz w:val="22"/>
          <w:szCs w:val="22"/>
        </w:rPr>
        <w:t>odavateli</w:t>
      </w:r>
      <w:r w:rsidR="00630EEF" w:rsidRPr="00D22838">
        <w:rPr>
          <w:rFonts w:ascii="Arial" w:hAnsi="Arial" w:cs="Arial"/>
          <w:sz w:val="22"/>
          <w:szCs w:val="22"/>
        </w:rPr>
        <w:t xml:space="preserve"> bude prováděna </w:t>
      </w:r>
      <w:r w:rsidR="001A6560" w:rsidRPr="00D22838">
        <w:rPr>
          <w:rFonts w:ascii="Arial" w:hAnsi="Arial" w:cs="Arial"/>
          <w:sz w:val="22"/>
          <w:szCs w:val="22"/>
        </w:rPr>
        <w:t>měsíčně jako paušální platba na základě vystaveného daňov</w:t>
      </w:r>
      <w:r w:rsidR="00EF5132" w:rsidRPr="00D22838">
        <w:rPr>
          <w:rFonts w:ascii="Arial" w:hAnsi="Arial" w:cs="Arial"/>
          <w:sz w:val="22"/>
          <w:szCs w:val="22"/>
        </w:rPr>
        <w:t>ých</w:t>
      </w:r>
      <w:r w:rsidR="00E723CD" w:rsidRPr="00D22838">
        <w:rPr>
          <w:rFonts w:ascii="Arial" w:hAnsi="Arial" w:cs="Arial"/>
          <w:sz w:val="22"/>
          <w:szCs w:val="22"/>
        </w:rPr>
        <w:t xml:space="preserve"> doklad</w:t>
      </w:r>
      <w:r w:rsidR="00EF5132" w:rsidRPr="00D22838">
        <w:rPr>
          <w:rFonts w:ascii="Arial" w:hAnsi="Arial" w:cs="Arial"/>
          <w:sz w:val="22"/>
          <w:szCs w:val="22"/>
        </w:rPr>
        <w:t>ů</w:t>
      </w:r>
      <w:r w:rsidR="00E723CD" w:rsidRPr="00D22838">
        <w:rPr>
          <w:rFonts w:ascii="Arial" w:hAnsi="Arial" w:cs="Arial"/>
          <w:sz w:val="22"/>
          <w:szCs w:val="22"/>
        </w:rPr>
        <w:t xml:space="preserve"> (</w:t>
      </w:r>
      <w:r w:rsidR="004E5398" w:rsidRPr="00D22838">
        <w:rPr>
          <w:rFonts w:ascii="Arial" w:hAnsi="Arial" w:cs="Arial"/>
          <w:sz w:val="22"/>
          <w:szCs w:val="22"/>
        </w:rPr>
        <w:t>dále jen „faktur</w:t>
      </w:r>
      <w:r w:rsidR="00EF5132" w:rsidRPr="00D22838">
        <w:rPr>
          <w:rFonts w:ascii="Arial" w:hAnsi="Arial" w:cs="Arial"/>
          <w:sz w:val="22"/>
          <w:szCs w:val="22"/>
        </w:rPr>
        <w:t>y</w:t>
      </w:r>
      <w:r w:rsidR="004E5398" w:rsidRPr="00D22838">
        <w:rPr>
          <w:rFonts w:ascii="Arial" w:hAnsi="Arial" w:cs="Arial"/>
          <w:sz w:val="22"/>
          <w:szCs w:val="22"/>
        </w:rPr>
        <w:t>“)</w:t>
      </w:r>
      <w:r w:rsidR="00E723CD" w:rsidRPr="00D22838">
        <w:rPr>
          <w:rFonts w:ascii="Arial" w:hAnsi="Arial" w:cs="Arial"/>
          <w:sz w:val="22"/>
          <w:szCs w:val="22"/>
        </w:rPr>
        <w:t xml:space="preserve"> Dodavatele.</w:t>
      </w:r>
    </w:p>
    <w:p w14:paraId="5F576CFA" w14:textId="4F2CE321" w:rsidR="004A1267" w:rsidRDefault="00E723CD" w:rsidP="000940CF">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sidRPr="00C52857">
        <w:rPr>
          <w:rFonts w:ascii="Arial" w:hAnsi="Arial" w:cs="Arial"/>
          <w:sz w:val="22"/>
          <w:szCs w:val="22"/>
        </w:rPr>
        <w:t xml:space="preserve">Úhrada ceny za plnění </w:t>
      </w:r>
      <w:r w:rsidR="00B03793">
        <w:rPr>
          <w:rFonts w:ascii="Arial" w:hAnsi="Arial" w:cs="Arial"/>
          <w:sz w:val="22"/>
          <w:szCs w:val="22"/>
        </w:rPr>
        <w:t>Kapitoly 2</w:t>
      </w:r>
      <w:r w:rsidRPr="00C52857">
        <w:rPr>
          <w:rFonts w:ascii="Arial" w:hAnsi="Arial" w:cs="Arial"/>
          <w:sz w:val="22"/>
          <w:szCs w:val="22"/>
        </w:rPr>
        <w:t xml:space="preserve"> Dohody ze strany Objednatele Dodavateli bude prováděna </w:t>
      </w:r>
      <w:r w:rsidR="00237E19" w:rsidRPr="00C52857">
        <w:rPr>
          <w:rFonts w:ascii="Arial" w:hAnsi="Arial" w:cs="Arial"/>
          <w:sz w:val="22"/>
          <w:szCs w:val="22"/>
        </w:rPr>
        <w:t xml:space="preserve">na </w:t>
      </w:r>
      <w:r w:rsidR="00FC76C0" w:rsidRPr="00C52857">
        <w:rPr>
          <w:rFonts w:ascii="Arial" w:hAnsi="Arial" w:cs="Arial"/>
          <w:sz w:val="22"/>
          <w:szCs w:val="22"/>
        </w:rPr>
        <w:t xml:space="preserve">základě </w:t>
      </w:r>
      <w:r w:rsidR="007B282A">
        <w:rPr>
          <w:rFonts w:ascii="Arial" w:hAnsi="Arial" w:cs="Arial"/>
          <w:sz w:val="22"/>
          <w:szCs w:val="22"/>
        </w:rPr>
        <w:t>Objednatelem odsouhlaseného výkazu práce předloženého Dodavatelem</w:t>
      </w:r>
      <w:r w:rsidR="00237E19" w:rsidRPr="00C52857">
        <w:rPr>
          <w:rFonts w:ascii="Arial" w:hAnsi="Arial" w:cs="Arial"/>
          <w:sz w:val="22"/>
          <w:szCs w:val="22"/>
        </w:rPr>
        <w:t xml:space="preserve"> a </w:t>
      </w:r>
      <w:r w:rsidRPr="00C52857">
        <w:rPr>
          <w:rFonts w:ascii="Arial" w:hAnsi="Arial" w:cs="Arial"/>
          <w:sz w:val="22"/>
          <w:szCs w:val="22"/>
        </w:rPr>
        <w:t xml:space="preserve">na základě </w:t>
      </w:r>
      <w:r w:rsidR="00237E19" w:rsidRPr="00C52857">
        <w:rPr>
          <w:rFonts w:ascii="Arial" w:hAnsi="Arial" w:cs="Arial"/>
          <w:sz w:val="22"/>
          <w:szCs w:val="22"/>
        </w:rPr>
        <w:t>vystaven</w:t>
      </w:r>
      <w:r w:rsidR="00EF5132" w:rsidRPr="00C52857">
        <w:rPr>
          <w:rFonts w:ascii="Arial" w:hAnsi="Arial" w:cs="Arial"/>
          <w:sz w:val="22"/>
          <w:szCs w:val="22"/>
        </w:rPr>
        <w:t>ých</w:t>
      </w:r>
      <w:r w:rsidRPr="00C52857">
        <w:rPr>
          <w:rFonts w:ascii="Arial" w:hAnsi="Arial" w:cs="Arial"/>
          <w:sz w:val="22"/>
          <w:szCs w:val="22"/>
        </w:rPr>
        <w:t xml:space="preserve"> </w:t>
      </w:r>
      <w:r w:rsidR="00237E19" w:rsidRPr="00C52857">
        <w:rPr>
          <w:rFonts w:ascii="Arial" w:hAnsi="Arial" w:cs="Arial"/>
          <w:sz w:val="22"/>
          <w:szCs w:val="22"/>
        </w:rPr>
        <w:t xml:space="preserve">faktur </w:t>
      </w:r>
      <w:r w:rsidR="004E5679" w:rsidRPr="00C52857">
        <w:rPr>
          <w:rFonts w:ascii="Arial" w:hAnsi="Arial" w:cs="Arial"/>
          <w:sz w:val="22"/>
          <w:szCs w:val="22"/>
        </w:rPr>
        <w:t>D</w:t>
      </w:r>
      <w:r w:rsidR="00237E19" w:rsidRPr="00C52857">
        <w:rPr>
          <w:rFonts w:ascii="Arial" w:hAnsi="Arial" w:cs="Arial"/>
          <w:sz w:val="22"/>
          <w:szCs w:val="22"/>
        </w:rPr>
        <w:t xml:space="preserve">odavatele, jehož přílohou bude kopie </w:t>
      </w:r>
      <w:r w:rsidR="007B282A">
        <w:rPr>
          <w:rFonts w:ascii="Arial" w:hAnsi="Arial" w:cs="Arial"/>
          <w:sz w:val="22"/>
          <w:szCs w:val="22"/>
        </w:rPr>
        <w:t>výkazu práce</w:t>
      </w:r>
      <w:r w:rsidR="004A1267">
        <w:rPr>
          <w:rFonts w:ascii="Arial" w:hAnsi="Arial" w:cs="Arial"/>
          <w:sz w:val="22"/>
          <w:szCs w:val="22"/>
        </w:rPr>
        <w:t>.</w:t>
      </w:r>
    </w:p>
    <w:p w14:paraId="0812533E" w14:textId="5042BD98" w:rsidR="004A1267" w:rsidRDefault="004A1267" w:rsidP="000940CF">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sidRPr="00C52857">
        <w:rPr>
          <w:rFonts w:ascii="Arial" w:hAnsi="Arial" w:cs="Arial"/>
          <w:sz w:val="22"/>
          <w:szCs w:val="22"/>
        </w:rPr>
        <w:t xml:space="preserve">Úhrada ceny za plnění </w:t>
      </w:r>
      <w:r>
        <w:rPr>
          <w:rFonts w:ascii="Arial" w:hAnsi="Arial" w:cs="Arial"/>
          <w:sz w:val="22"/>
          <w:szCs w:val="22"/>
        </w:rPr>
        <w:t>Kapitoly 3</w:t>
      </w:r>
      <w:r w:rsidRPr="00C52857">
        <w:rPr>
          <w:rFonts w:ascii="Arial" w:hAnsi="Arial" w:cs="Arial"/>
          <w:sz w:val="22"/>
          <w:szCs w:val="22"/>
        </w:rPr>
        <w:t xml:space="preserve"> Dohody ze strany Objednatele Dodavateli</w:t>
      </w:r>
      <w:r>
        <w:rPr>
          <w:rFonts w:ascii="Arial" w:hAnsi="Arial" w:cs="Arial"/>
          <w:sz w:val="22"/>
          <w:szCs w:val="22"/>
        </w:rPr>
        <w:t xml:space="preserve"> </w:t>
      </w:r>
      <w:r w:rsidRPr="00C52857">
        <w:rPr>
          <w:rFonts w:ascii="Arial" w:hAnsi="Arial" w:cs="Arial"/>
          <w:sz w:val="22"/>
          <w:szCs w:val="22"/>
        </w:rPr>
        <w:t xml:space="preserve">bude prováděna na základě </w:t>
      </w:r>
      <w:r>
        <w:rPr>
          <w:rFonts w:ascii="Arial" w:hAnsi="Arial" w:cs="Arial"/>
          <w:sz w:val="22"/>
          <w:szCs w:val="22"/>
        </w:rPr>
        <w:t>Objednatelem odsouhlasené nabídky</w:t>
      </w:r>
      <w:r w:rsidR="006710E4">
        <w:rPr>
          <w:rFonts w:ascii="Arial" w:hAnsi="Arial" w:cs="Arial"/>
          <w:sz w:val="22"/>
          <w:szCs w:val="22"/>
        </w:rPr>
        <w:t>, provedení prací podle nabídky a na základě akceptačního protokolu připraveného Dodavatelem a odsouhlaseného objednatelem a na základě vystavených faktur Dodavatele, jehož přílohou bude kopie akceptačního protokolu.</w:t>
      </w:r>
    </w:p>
    <w:p w14:paraId="2B703E4C" w14:textId="41B60BD2" w:rsidR="006710E4" w:rsidRDefault="006710E4" w:rsidP="000940CF">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sidRPr="00C52857">
        <w:rPr>
          <w:rFonts w:ascii="Arial" w:hAnsi="Arial" w:cs="Arial"/>
          <w:sz w:val="22"/>
          <w:szCs w:val="22"/>
        </w:rPr>
        <w:t xml:space="preserve">Úhrada ceny za plnění </w:t>
      </w:r>
      <w:r>
        <w:rPr>
          <w:rFonts w:ascii="Arial" w:hAnsi="Arial" w:cs="Arial"/>
          <w:sz w:val="22"/>
          <w:szCs w:val="22"/>
        </w:rPr>
        <w:t>Kapitoly 4</w:t>
      </w:r>
      <w:r w:rsidRPr="00C52857">
        <w:rPr>
          <w:rFonts w:ascii="Arial" w:hAnsi="Arial" w:cs="Arial"/>
          <w:sz w:val="22"/>
          <w:szCs w:val="22"/>
        </w:rPr>
        <w:t xml:space="preserve"> Dohody ze strany Objednatele Dodavateli</w:t>
      </w:r>
      <w:r>
        <w:rPr>
          <w:rFonts w:ascii="Arial" w:hAnsi="Arial" w:cs="Arial"/>
          <w:sz w:val="22"/>
          <w:szCs w:val="22"/>
        </w:rPr>
        <w:t xml:space="preserve"> </w:t>
      </w:r>
      <w:r w:rsidRPr="00C52857">
        <w:rPr>
          <w:rFonts w:ascii="Arial" w:hAnsi="Arial" w:cs="Arial"/>
          <w:sz w:val="22"/>
          <w:szCs w:val="22"/>
        </w:rPr>
        <w:t xml:space="preserve">bude prováděna na základě </w:t>
      </w:r>
      <w:r>
        <w:rPr>
          <w:rFonts w:ascii="Arial" w:hAnsi="Arial" w:cs="Arial"/>
          <w:sz w:val="22"/>
          <w:szCs w:val="22"/>
        </w:rPr>
        <w:t>Objednatelem odsouhlasené nabídky, Objednatelem odsouhlaseného Dodavatelem vystaveného předávacího protokolu</w:t>
      </w:r>
      <w:r w:rsidRPr="006710E4">
        <w:rPr>
          <w:rFonts w:ascii="Arial" w:hAnsi="Arial" w:cs="Arial"/>
          <w:sz w:val="22"/>
          <w:szCs w:val="22"/>
        </w:rPr>
        <w:t xml:space="preserve"> </w:t>
      </w:r>
      <w:r>
        <w:rPr>
          <w:rFonts w:ascii="Arial" w:hAnsi="Arial" w:cs="Arial"/>
          <w:sz w:val="22"/>
          <w:szCs w:val="22"/>
        </w:rPr>
        <w:t xml:space="preserve">a na základě vystavené faktury Dodavatele, </w:t>
      </w:r>
      <w:r>
        <w:rPr>
          <w:rFonts w:ascii="Arial" w:hAnsi="Arial" w:cs="Arial"/>
          <w:sz w:val="22"/>
          <w:szCs w:val="22"/>
        </w:rPr>
        <w:lastRenderedPageBreak/>
        <w:t>jejíž přílohou bude kopie předávacího protokolu. Předávací protokol může být nahrazen</w:t>
      </w:r>
      <w:r w:rsidR="00186F35">
        <w:rPr>
          <w:rFonts w:ascii="Arial" w:hAnsi="Arial" w:cs="Arial"/>
          <w:sz w:val="22"/>
          <w:szCs w:val="22"/>
        </w:rPr>
        <w:t xml:space="preserve"> potvrzením výrobce, že HW a SW </w:t>
      </w:r>
      <w:proofErr w:type="spellStart"/>
      <w:r w:rsidR="00186F35">
        <w:rPr>
          <w:rFonts w:ascii="Arial" w:hAnsi="Arial" w:cs="Arial"/>
          <w:sz w:val="22"/>
          <w:szCs w:val="22"/>
        </w:rPr>
        <w:t>maintenance</w:t>
      </w:r>
      <w:proofErr w:type="spellEnd"/>
      <w:r w:rsidR="00186F35">
        <w:rPr>
          <w:rFonts w:ascii="Arial" w:hAnsi="Arial" w:cs="Arial"/>
          <w:sz w:val="22"/>
          <w:szCs w:val="22"/>
        </w:rPr>
        <w:t xml:space="preserve"> pro systémy uvedené v nabídce je platná.</w:t>
      </w:r>
      <w:r w:rsidR="00001725">
        <w:rPr>
          <w:rFonts w:ascii="Arial" w:hAnsi="Arial" w:cs="Arial"/>
          <w:sz w:val="22"/>
          <w:szCs w:val="22"/>
        </w:rPr>
        <w:t xml:space="preserve"> </w:t>
      </w:r>
      <w:r w:rsidR="003C0B6E">
        <w:rPr>
          <w:rFonts w:ascii="Arial" w:hAnsi="Arial" w:cs="Arial"/>
          <w:sz w:val="22"/>
          <w:szCs w:val="22"/>
        </w:rPr>
        <w:t>Objednatel</w:t>
      </w:r>
      <w:r w:rsidR="00001725" w:rsidRPr="00001725">
        <w:rPr>
          <w:rFonts w:ascii="Arial" w:hAnsi="Arial" w:cs="Arial"/>
          <w:sz w:val="22"/>
          <w:szCs w:val="22"/>
        </w:rPr>
        <w:t xml:space="preserve"> stanovuje v souladu s § 100 odst. 1 ZZVZ vyhrazenou změnu závazku, a to tak, že cena za jednotlivé položky HW a SW </w:t>
      </w:r>
      <w:proofErr w:type="spellStart"/>
      <w:r w:rsidR="00001725" w:rsidRPr="00001725">
        <w:rPr>
          <w:rFonts w:ascii="Arial" w:hAnsi="Arial" w:cs="Arial"/>
          <w:sz w:val="22"/>
          <w:szCs w:val="22"/>
        </w:rPr>
        <w:t>maintenance</w:t>
      </w:r>
      <w:proofErr w:type="spellEnd"/>
      <w:r w:rsidR="00001725" w:rsidRPr="00001725">
        <w:rPr>
          <w:rFonts w:ascii="Arial" w:hAnsi="Arial" w:cs="Arial"/>
          <w:sz w:val="22"/>
          <w:szCs w:val="22"/>
        </w:rPr>
        <w:t xml:space="preserve"> může být meziročně navýšena u Kapitoly 4 o maximálně </w:t>
      </w:r>
      <w:proofErr w:type="gramStart"/>
      <w:r w:rsidR="00001725" w:rsidRPr="00001725">
        <w:rPr>
          <w:rFonts w:ascii="Arial" w:hAnsi="Arial" w:cs="Arial"/>
          <w:sz w:val="22"/>
          <w:szCs w:val="22"/>
        </w:rPr>
        <w:t>15%</w:t>
      </w:r>
      <w:proofErr w:type="gramEnd"/>
      <w:r w:rsidR="00001725" w:rsidRPr="00001725">
        <w:rPr>
          <w:rFonts w:ascii="Arial" w:hAnsi="Arial" w:cs="Arial"/>
          <w:sz w:val="22"/>
          <w:szCs w:val="22"/>
        </w:rPr>
        <w:t xml:space="preserve">. Toto maximální meziroční navýšení se vztahuje i na první rok nákupu. </w:t>
      </w:r>
    </w:p>
    <w:p w14:paraId="312B514E" w14:textId="6B52A3DF" w:rsidR="00FD0B86" w:rsidRPr="00C52857" w:rsidRDefault="004A1267" w:rsidP="000940CF">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Pr>
          <w:rFonts w:ascii="Arial" w:hAnsi="Arial" w:cs="Arial"/>
          <w:sz w:val="22"/>
          <w:szCs w:val="22"/>
        </w:rPr>
        <w:t>Všechny částky budou Objednatelem poukazovány</w:t>
      </w:r>
      <w:r w:rsidR="00237E19" w:rsidRPr="00C52857">
        <w:rPr>
          <w:rFonts w:ascii="Arial" w:hAnsi="Arial" w:cs="Arial"/>
          <w:sz w:val="22"/>
          <w:szCs w:val="22"/>
        </w:rPr>
        <w:t xml:space="preserve"> na bankovní účet </w:t>
      </w:r>
      <w:r w:rsidR="007B282A">
        <w:rPr>
          <w:rFonts w:ascii="Arial" w:hAnsi="Arial" w:cs="Arial"/>
          <w:sz w:val="22"/>
          <w:szCs w:val="22"/>
        </w:rPr>
        <w:t>Dodavatele</w:t>
      </w:r>
      <w:r w:rsidR="00237E19" w:rsidRPr="00C52857">
        <w:rPr>
          <w:rFonts w:ascii="Arial" w:hAnsi="Arial" w:cs="Arial"/>
          <w:sz w:val="22"/>
          <w:szCs w:val="22"/>
        </w:rPr>
        <w:t xml:space="preserve"> uvedený v záhlaví </w:t>
      </w:r>
      <w:r w:rsidR="00E51A9B" w:rsidRPr="00C52857">
        <w:rPr>
          <w:rFonts w:ascii="Arial" w:hAnsi="Arial" w:cs="Arial"/>
          <w:sz w:val="22"/>
          <w:szCs w:val="22"/>
        </w:rPr>
        <w:t>Dohody</w:t>
      </w:r>
      <w:r w:rsidR="00237E19" w:rsidRPr="00C52857">
        <w:rPr>
          <w:rFonts w:ascii="Arial" w:hAnsi="Arial" w:cs="Arial"/>
          <w:sz w:val="22"/>
          <w:szCs w:val="22"/>
        </w:rPr>
        <w:t xml:space="preserve"> či na účet </w:t>
      </w:r>
      <w:r w:rsidR="004E5679" w:rsidRPr="00C52857">
        <w:rPr>
          <w:rFonts w:ascii="Arial" w:hAnsi="Arial" w:cs="Arial"/>
          <w:sz w:val="22"/>
          <w:szCs w:val="22"/>
        </w:rPr>
        <w:t>D</w:t>
      </w:r>
      <w:r w:rsidR="00237E19" w:rsidRPr="00C52857">
        <w:rPr>
          <w:rFonts w:ascii="Arial" w:hAnsi="Arial" w:cs="Arial"/>
          <w:sz w:val="22"/>
          <w:szCs w:val="22"/>
        </w:rPr>
        <w:t>odavatelem později písemně oznámený.</w:t>
      </w:r>
    </w:p>
    <w:p w14:paraId="568B2699" w14:textId="26DC358C" w:rsidR="00AE23B7" w:rsidRPr="00D22838" w:rsidRDefault="00CA0BD3" w:rsidP="000940CF">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Všechny částky v Kč poukazované mezi </w:t>
      </w:r>
      <w:r w:rsidR="004E5679" w:rsidRPr="00D22838">
        <w:rPr>
          <w:rFonts w:ascii="Arial" w:hAnsi="Arial" w:cs="Arial"/>
          <w:sz w:val="22"/>
          <w:szCs w:val="22"/>
        </w:rPr>
        <w:t>O</w:t>
      </w:r>
      <w:r w:rsidRPr="00D22838">
        <w:rPr>
          <w:rFonts w:ascii="Arial" w:hAnsi="Arial" w:cs="Arial"/>
          <w:sz w:val="22"/>
          <w:szCs w:val="22"/>
        </w:rPr>
        <w:t xml:space="preserve">bjednatelem a </w:t>
      </w:r>
      <w:r w:rsidR="004E5679" w:rsidRPr="00D22838">
        <w:rPr>
          <w:rFonts w:ascii="Arial" w:hAnsi="Arial" w:cs="Arial"/>
          <w:sz w:val="22"/>
          <w:szCs w:val="22"/>
        </w:rPr>
        <w:t>D</w:t>
      </w:r>
      <w:r w:rsidR="00BA32DB" w:rsidRPr="00D22838">
        <w:rPr>
          <w:rFonts w:ascii="Arial" w:hAnsi="Arial" w:cs="Arial"/>
          <w:sz w:val="22"/>
          <w:szCs w:val="22"/>
        </w:rPr>
        <w:t>odavatelem</w:t>
      </w:r>
      <w:r w:rsidRPr="00D22838">
        <w:rPr>
          <w:rFonts w:ascii="Arial" w:hAnsi="Arial" w:cs="Arial"/>
          <w:sz w:val="22"/>
          <w:szCs w:val="22"/>
        </w:rPr>
        <w:t xml:space="preserve"> na základě </w:t>
      </w:r>
      <w:r w:rsidR="00E51A9B" w:rsidRPr="00D22838">
        <w:rPr>
          <w:rFonts w:ascii="Arial" w:hAnsi="Arial" w:cs="Arial"/>
          <w:sz w:val="22"/>
          <w:szCs w:val="22"/>
        </w:rPr>
        <w:t>Dohody</w:t>
      </w:r>
      <w:r w:rsidRPr="00D22838">
        <w:rPr>
          <w:rFonts w:ascii="Arial" w:hAnsi="Arial" w:cs="Arial"/>
          <w:sz w:val="22"/>
          <w:szCs w:val="22"/>
        </w:rPr>
        <w:t xml:space="preserve"> musí být prosté jakýchkoli bankovních poplatků nebo jiných nákladů spojených s převodem na jejich účty.</w:t>
      </w:r>
    </w:p>
    <w:p w14:paraId="3354A0BC" w14:textId="2790E87F" w:rsidR="00AE23B7" w:rsidRPr="00D22838" w:rsidRDefault="004E5398" w:rsidP="000940CF">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F</w:t>
      </w:r>
      <w:r w:rsidR="0013098B" w:rsidRPr="00D22838">
        <w:rPr>
          <w:rFonts w:ascii="Arial" w:hAnsi="Arial" w:cs="Arial"/>
          <w:sz w:val="22"/>
          <w:szCs w:val="22"/>
        </w:rPr>
        <w:t xml:space="preserve">akturu doručí </w:t>
      </w:r>
      <w:r w:rsidR="004E5679" w:rsidRPr="00D22838">
        <w:rPr>
          <w:rFonts w:ascii="Arial" w:hAnsi="Arial" w:cs="Arial"/>
          <w:sz w:val="22"/>
          <w:szCs w:val="22"/>
        </w:rPr>
        <w:t>D</w:t>
      </w:r>
      <w:r w:rsidR="0013098B" w:rsidRPr="00D22838">
        <w:rPr>
          <w:rFonts w:ascii="Arial" w:hAnsi="Arial" w:cs="Arial"/>
          <w:sz w:val="22"/>
          <w:szCs w:val="22"/>
        </w:rPr>
        <w:t>odava</w:t>
      </w:r>
      <w:r w:rsidR="00AE23B7" w:rsidRPr="00D22838">
        <w:rPr>
          <w:rFonts w:ascii="Arial" w:hAnsi="Arial" w:cs="Arial"/>
          <w:sz w:val="22"/>
          <w:szCs w:val="22"/>
        </w:rPr>
        <w:t xml:space="preserve">tel </w:t>
      </w:r>
      <w:r w:rsidR="004E5679" w:rsidRPr="00D22838">
        <w:rPr>
          <w:rFonts w:ascii="Arial" w:hAnsi="Arial" w:cs="Arial"/>
          <w:sz w:val="22"/>
          <w:szCs w:val="22"/>
        </w:rPr>
        <w:t>O</w:t>
      </w:r>
      <w:r w:rsidR="00AE23B7" w:rsidRPr="00D22838">
        <w:rPr>
          <w:rFonts w:ascii="Arial" w:hAnsi="Arial" w:cs="Arial"/>
          <w:sz w:val="22"/>
          <w:szCs w:val="22"/>
        </w:rPr>
        <w:t xml:space="preserve">bjednateli ve dvou výtiscích, nejpozději do 10. dne následujícího měsíce. Splatnost faktury je 30 dnů od jejího doručení </w:t>
      </w:r>
      <w:r w:rsidR="00FD0B86" w:rsidRPr="00D22838">
        <w:rPr>
          <w:rFonts w:ascii="Arial" w:hAnsi="Arial" w:cs="Arial"/>
          <w:sz w:val="22"/>
          <w:szCs w:val="22"/>
        </w:rPr>
        <w:t>O</w:t>
      </w:r>
      <w:r w:rsidR="00AE23B7" w:rsidRPr="00D22838">
        <w:rPr>
          <w:rFonts w:ascii="Arial" w:hAnsi="Arial" w:cs="Arial"/>
          <w:sz w:val="22"/>
          <w:szCs w:val="22"/>
        </w:rPr>
        <w:t>bjednateli. Za den splnění platební povinnosti se považuje den při</w:t>
      </w:r>
      <w:r w:rsidR="0013098B" w:rsidRPr="00D22838">
        <w:rPr>
          <w:rFonts w:ascii="Arial" w:hAnsi="Arial" w:cs="Arial"/>
          <w:sz w:val="22"/>
          <w:szCs w:val="22"/>
        </w:rPr>
        <w:t xml:space="preserve">psání částky na účet </w:t>
      </w:r>
      <w:r w:rsidR="00FD0B86" w:rsidRPr="00D22838">
        <w:rPr>
          <w:rFonts w:ascii="Arial" w:hAnsi="Arial" w:cs="Arial"/>
          <w:sz w:val="22"/>
          <w:szCs w:val="22"/>
        </w:rPr>
        <w:t>D</w:t>
      </w:r>
      <w:r w:rsidR="0013098B" w:rsidRPr="00D22838">
        <w:rPr>
          <w:rFonts w:ascii="Arial" w:hAnsi="Arial" w:cs="Arial"/>
          <w:sz w:val="22"/>
          <w:szCs w:val="22"/>
        </w:rPr>
        <w:t>odava</w:t>
      </w:r>
      <w:r w:rsidR="00AE23B7" w:rsidRPr="00D22838">
        <w:rPr>
          <w:rFonts w:ascii="Arial" w:hAnsi="Arial" w:cs="Arial"/>
          <w:sz w:val="22"/>
          <w:szCs w:val="22"/>
        </w:rPr>
        <w:t>tele.</w:t>
      </w:r>
    </w:p>
    <w:p w14:paraId="50A72E61" w14:textId="402F5987" w:rsidR="00AE23B7" w:rsidRPr="00D22838" w:rsidRDefault="004E5398" w:rsidP="000940CF">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F</w:t>
      </w:r>
      <w:r w:rsidR="00AE23B7" w:rsidRPr="00D22838">
        <w:rPr>
          <w:rFonts w:ascii="Arial" w:hAnsi="Arial" w:cs="Arial"/>
          <w:sz w:val="22"/>
          <w:szCs w:val="22"/>
        </w:rPr>
        <w:t xml:space="preserve">aktura bude obsahovat všechny údaje týkající se daňového dokladu dle § 29 zákona č. 235/2004 Sb., o dani z přidané hodnoty, ve znění pozdějších předpisů, a náležitosti uvedené v § 435 </w:t>
      </w:r>
      <w:r w:rsidR="00540525">
        <w:rPr>
          <w:rFonts w:ascii="Arial" w:hAnsi="Arial" w:cs="Arial"/>
          <w:sz w:val="22"/>
          <w:szCs w:val="22"/>
        </w:rPr>
        <w:t>OZ</w:t>
      </w:r>
      <w:r w:rsidR="00AE23B7" w:rsidRPr="00D22838">
        <w:rPr>
          <w:rFonts w:ascii="Arial" w:hAnsi="Arial" w:cs="Arial"/>
          <w:sz w:val="22"/>
          <w:szCs w:val="22"/>
        </w:rPr>
        <w:t>. Kromě z</w:t>
      </w:r>
      <w:r w:rsidR="0013098B" w:rsidRPr="00D22838">
        <w:rPr>
          <w:rFonts w:ascii="Arial" w:hAnsi="Arial" w:cs="Arial"/>
          <w:sz w:val="22"/>
          <w:szCs w:val="22"/>
        </w:rPr>
        <w:t>miňovaných náležitostí je dodavate</w:t>
      </w:r>
      <w:r w:rsidR="00AE23B7" w:rsidRPr="00D22838">
        <w:rPr>
          <w:rFonts w:ascii="Arial" w:hAnsi="Arial" w:cs="Arial"/>
          <w:sz w:val="22"/>
          <w:szCs w:val="22"/>
        </w:rPr>
        <w:t>l povinen uvést tyto další údaje a respektovat níže uvedené skutečnosti:</w:t>
      </w:r>
    </w:p>
    <w:p w14:paraId="38AB1029" w14:textId="7CB07E81" w:rsidR="00AE23B7" w:rsidRPr="00D22838" w:rsidRDefault="00AE23B7" w:rsidP="000940CF">
      <w:pPr>
        <w:pStyle w:val="Odstavecseseznamem"/>
        <w:widowControl w:val="0"/>
        <w:numPr>
          <w:ilvl w:val="0"/>
          <w:numId w:val="3"/>
        </w:numPr>
        <w:autoSpaceDE w:val="0"/>
        <w:autoSpaceDN w:val="0"/>
        <w:adjustRightInd w:val="0"/>
        <w:spacing w:after="120"/>
        <w:jc w:val="both"/>
        <w:rPr>
          <w:rFonts w:ascii="Arial" w:hAnsi="Arial" w:cs="Arial"/>
          <w:sz w:val="22"/>
          <w:szCs w:val="22"/>
        </w:rPr>
      </w:pPr>
      <w:r w:rsidRPr="00D22838">
        <w:rPr>
          <w:rFonts w:ascii="Arial" w:hAnsi="Arial" w:cs="Arial"/>
          <w:sz w:val="22"/>
          <w:szCs w:val="22"/>
        </w:rPr>
        <w:t>označení faktur</w:t>
      </w:r>
      <w:r w:rsidR="004E5398" w:rsidRPr="00D22838">
        <w:rPr>
          <w:rFonts w:ascii="Arial" w:hAnsi="Arial" w:cs="Arial"/>
          <w:sz w:val="22"/>
          <w:szCs w:val="22"/>
        </w:rPr>
        <w:t>y</w:t>
      </w:r>
      <w:r w:rsidRPr="00D22838">
        <w:rPr>
          <w:rFonts w:ascii="Arial" w:hAnsi="Arial" w:cs="Arial"/>
          <w:sz w:val="22"/>
          <w:szCs w:val="22"/>
        </w:rPr>
        <w:t xml:space="preserve">; </w:t>
      </w:r>
    </w:p>
    <w:p w14:paraId="1597D555" w14:textId="09740967" w:rsidR="00AE23B7" w:rsidRPr="00D22838" w:rsidRDefault="00BA32DB" w:rsidP="000940CF">
      <w:pPr>
        <w:pStyle w:val="Odstavecseseznamem"/>
        <w:widowControl w:val="0"/>
        <w:numPr>
          <w:ilvl w:val="0"/>
          <w:numId w:val="3"/>
        </w:numPr>
        <w:autoSpaceDE w:val="0"/>
        <w:autoSpaceDN w:val="0"/>
        <w:adjustRightInd w:val="0"/>
        <w:spacing w:after="120"/>
        <w:jc w:val="both"/>
        <w:rPr>
          <w:rFonts w:ascii="Arial" w:hAnsi="Arial" w:cs="Arial"/>
          <w:sz w:val="22"/>
          <w:szCs w:val="22"/>
        </w:rPr>
      </w:pPr>
      <w:r w:rsidRPr="00D22838">
        <w:rPr>
          <w:rFonts w:ascii="Arial" w:hAnsi="Arial" w:cs="Arial"/>
          <w:sz w:val="22"/>
          <w:szCs w:val="22"/>
        </w:rPr>
        <w:t xml:space="preserve">název </w:t>
      </w:r>
      <w:r w:rsidR="00E51A9B" w:rsidRPr="00D22838">
        <w:rPr>
          <w:rFonts w:ascii="Arial" w:hAnsi="Arial" w:cs="Arial"/>
          <w:sz w:val="22"/>
          <w:szCs w:val="22"/>
        </w:rPr>
        <w:t>Dohody</w:t>
      </w:r>
      <w:r w:rsidR="00AE23B7" w:rsidRPr="00D22838">
        <w:rPr>
          <w:rFonts w:ascii="Arial" w:hAnsi="Arial" w:cs="Arial"/>
          <w:sz w:val="22"/>
          <w:szCs w:val="22"/>
        </w:rPr>
        <w:t>;</w:t>
      </w:r>
    </w:p>
    <w:p w14:paraId="7CDFC896" w14:textId="499FAE5A" w:rsidR="00AE23B7" w:rsidRPr="00D22838" w:rsidRDefault="00AE23B7" w:rsidP="000940CF">
      <w:pPr>
        <w:pStyle w:val="Odstavecseseznamem"/>
        <w:widowControl w:val="0"/>
        <w:numPr>
          <w:ilvl w:val="0"/>
          <w:numId w:val="3"/>
        </w:numPr>
        <w:autoSpaceDE w:val="0"/>
        <w:autoSpaceDN w:val="0"/>
        <w:adjustRightInd w:val="0"/>
        <w:spacing w:after="120"/>
        <w:jc w:val="both"/>
        <w:rPr>
          <w:rFonts w:ascii="Arial" w:hAnsi="Arial" w:cs="Arial"/>
          <w:sz w:val="22"/>
          <w:szCs w:val="22"/>
        </w:rPr>
      </w:pPr>
      <w:r w:rsidRPr="00D22838">
        <w:rPr>
          <w:rFonts w:ascii="Arial" w:hAnsi="Arial" w:cs="Arial"/>
          <w:sz w:val="22"/>
          <w:szCs w:val="22"/>
        </w:rPr>
        <w:t>den odeslání faktury;</w:t>
      </w:r>
    </w:p>
    <w:p w14:paraId="301F10DD" w14:textId="77777777" w:rsidR="00AE23B7" w:rsidRPr="00D22838" w:rsidRDefault="00AE23B7" w:rsidP="000940CF">
      <w:pPr>
        <w:pStyle w:val="Odstavecseseznamem"/>
        <w:widowControl w:val="0"/>
        <w:numPr>
          <w:ilvl w:val="0"/>
          <w:numId w:val="3"/>
        </w:numPr>
        <w:autoSpaceDE w:val="0"/>
        <w:autoSpaceDN w:val="0"/>
        <w:adjustRightInd w:val="0"/>
        <w:spacing w:after="120"/>
        <w:jc w:val="both"/>
        <w:rPr>
          <w:rFonts w:ascii="Arial" w:hAnsi="Arial" w:cs="Arial"/>
          <w:sz w:val="22"/>
          <w:szCs w:val="22"/>
        </w:rPr>
      </w:pPr>
      <w:r w:rsidRPr="00D22838">
        <w:rPr>
          <w:rFonts w:ascii="Arial" w:hAnsi="Arial" w:cs="Arial"/>
          <w:sz w:val="22"/>
          <w:szCs w:val="22"/>
        </w:rPr>
        <w:t>počet příloh;</w:t>
      </w:r>
    </w:p>
    <w:p w14:paraId="32D6B731" w14:textId="3BC16ECA" w:rsidR="00AE23B7" w:rsidRPr="00D22838" w:rsidRDefault="0013098B" w:rsidP="000940CF">
      <w:pPr>
        <w:pStyle w:val="Odstavecseseznamem"/>
        <w:widowControl w:val="0"/>
        <w:numPr>
          <w:ilvl w:val="0"/>
          <w:numId w:val="3"/>
        </w:numPr>
        <w:autoSpaceDE w:val="0"/>
        <w:autoSpaceDN w:val="0"/>
        <w:adjustRightInd w:val="0"/>
        <w:spacing w:after="120"/>
        <w:jc w:val="both"/>
        <w:rPr>
          <w:rFonts w:ascii="Arial" w:hAnsi="Arial" w:cs="Arial"/>
          <w:sz w:val="22"/>
          <w:szCs w:val="22"/>
        </w:rPr>
      </w:pPr>
      <w:r w:rsidRPr="00D22838">
        <w:rPr>
          <w:rFonts w:ascii="Arial" w:hAnsi="Arial" w:cs="Arial"/>
          <w:sz w:val="22"/>
          <w:szCs w:val="22"/>
        </w:rPr>
        <w:t xml:space="preserve">razítko a podpisem </w:t>
      </w:r>
      <w:r w:rsidR="00FD0B86" w:rsidRPr="00D22838">
        <w:rPr>
          <w:rFonts w:ascii="Arial" w:hAnsi="Arial" w:cs="Arial"/>
          <w:sz w:val="22"/>
          <w:szCs w:val="22"/>
        </w:rPr>
        <w:t>D</w:t>
      </w:r>
      <w:r w:rsidRPr="00D22838">
        <w:rPr>
          <w:rFonts w:ascii="Arial" w:hAnsi="Arial" w:cs="Arial"/>
          <w:sz w:val="22"/>
          <w:szCs w:val="22"/>
        </w:rPr>
        <w:t>odavatele</w:t>
      </w:r>
      <w:r w:rsidR="00AE23B7" w:rsidRPr="00D22838">
        <w:rPr>
          <w:rFonts w:ascii="Arial" w:hAnsi="Arial" w:cs="Arial"/>
          <w:sz w:val="22"/>
          <w:szCs w:val="22"/>
        </w:rPr>
        <w:t>;</w:t>
      </w:r>
    </w:p>
    <w:p w14:paraId="723EA286" w14:textId="6AB9D9CD" w:rsidR="00CA0BD3" w:rsidRPr="00D22838" w:rsidRDefault="00AE23B7" w:rsidP="000940CF">
      <w:pPr>
        <w:pStyle w:val="Odstavecseseznamem"/>
        <w:widowControl w:val="0"/>
        <w:numPr>
          <w:ilvl w:val="0"/>
          <w:numId w:val="3"/>
        </w:numPr>
        <w:autoSpaceDE w:val="0"/>
        <w:autoSpaceDN w:val="0"/>
        <w:adjustRightInd w:val="0"/>
        <w:spacing w:after="120"/>
        <w:jc w:val="both"/>
        <w:rPr>
          <w:rFonts w:ascii="Arial" w:hAnsi="Arial" w:cs="Arial"/>
          <w:sz w:val="22"/>
          <w:szCs w:val="22"/>
        </w:rPr>
      </w:pPr>
      <w:r w:rsidRPr="00D22838">
        <w:rPr>
          <w:rFonts w:ascii="Arial" w:hAnsi="Arial" w:cs="Arial"/>
          <w:sz w:val="22"/>
          <w:szCs w:val="22"/>
        </w:rPr>
        <w:t xml:space="preserve">číslo bankovního účtu </w:t>
      </w:r>
      <w:r w:rsidR="00FD0B86" w:rsidRPr="00D22838">
        <w:rPr>
          <w:rFonts w:ascii="Arial" w:hAnsi="Arial" w:cs="Arial"/>
          <w:sz w:val="22"/>
          <w:szCs w:val="22"/>
        </w:rPr>
        <w:t>D</w:t>
      </w:r>
      <w:r w:rsidR="0013098B" w:rsidRPr="00D22838">
        <w:rPr>
          <w:rFonts w:ascii="Arial" w:hAnsi="Arial" w:cs="Arial"/>
          <w:sz w:val="22"/>
          <w:szCs w:val="22"/>
        </w:rPr>
        <w:t>odava</w:t>
      </w:r>
      <w:r w:rsidRPr="00D22838">
        <w:rPr>
          <w:rFonts w:ascii="Arial" w:hAnsi="Arial" w:cs="Arial"/>
          <w:sz w:val="22"/>
          <w:szCs w:val="22"/>
        </w:rPr>
        <w:t>tele.</w:t>
      </w:r>
    </w:p>
    <w:p w14:paraId="67EDD2B5" w14:textId="2FDE6147" w:rsidR="00AE23B7" w:rsidRPr="00D22838" w:rsidRDefault="00CA0BD3" w:rsidP="000940CF">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Pokud faktura neobsahuje všechny zákonem a </w:t>
      </w:r>
      <w:r w:rsidR="00E51A9B" w:rsidRPr="00D22838">
        <w:rPr>
          <w:rFonts w:ascii="Arial" w:hAnsi="Arial" w:cs="Arial"/>
          <w:sz w:val="22"/>
          <w:szCs w:val="22"/>
        </w:rPr>
        <w:t>Dohodou</w:t>
      </w:r>
      <w:r w:rsidRPr="00D22838">
        <w:rPr>
          <w:rFonts w:ascii="Arial" w:hAnsi="Arial" w:cs="Arial"/>
          <w:sz w:val="22"/>
          <w:szCs w:val="22"/>
        </w:rPr>
        <w:t xml:space="preserve"> stanovené náležitosti, je </w:t>
      </w:r>
      <w:r w:rsidR="00416677" w:rsidRPr="00D22838">
        <w:rPr>
          <w:rFonts w:ascii="Arial" w:hAnsi="Arial" w:cs="Arial"/>
          <w:sz w:val="22"/>
          <w:szCs w:val="22"/>
        </w:rPr>
        <w:t>O</w:t>
      </w:r>
      <w:r w:rsidRPr="00D22838">
        <w:rPr>
          <w:rFonts w:ascii="Arial" w:hAnsi="Arial" w:cs="Arial"/>
          <w:sz w:val="22"/>
          <w:szCs w:val="22"/>
        </w:rPr>
        <w:t xml:space="preserve">bjednatel oprávněn ji do data splatnosti vrátit s tím, že </w:t>
      </w:r>
      <w:r w:rsidR="00416677" w:rsidRPr="00D22838">
        <w:rPr>
          <w:rFonts w:ascii="Arial" w:hAnsi="Arial" w:cs="Arial"/>
          <w:sz w:val="22"/>
          <w:szCs w:val="22"/>
        </w:rPr>
        <w:t>D</w:t>
      </w:r>
      <w:r w:rsidR="0013098B" w:rsidRPr="00D22838">
        <w:rPr>
          <w:rFonts w:ascii="Arial" w:hAnsi="Arial" w:cs="Arial"/>
          <w:sz w:val="22"/>
          <w:szCs w:val="22"/>
        </w:rPr>
        <w:t>odavatel</w:t>
      </w:r>
      <w:r w:rsidRPr="00D22838">
        <w:rPr>
          <w:rFonts w:ascii="Arial" w:hAnsi="Arial" w:cs="Arial"/>
          <w:sz w:val="22"/>
          <w:szCs w:val="22"/>
        </w:rPr>
        <w:t xml:space="preserve"> je poté povinen vystavit nov</w:t>
      </w:r>
      <w:r w:rsidR="00F1391B" w:rsidRPr="00D22838">
        <w:rPr>
          <w:rFonts w:ascii="Arial" w:hAnsi="Arial" w:cs="Arial"/>
          <w:sz w:val="22"/>
          <w:szCs w:val="22"/>
        </w:rPr>
        <w:t>ou</w:t>
      </w:r>
      <w:r w:rsidRPr="00D22838">
        <w:rPr>
          <w:rFonts w:ascii="Arial" w:hAnsi="Arial" w:cs="Arial"/>
          <w:sz w:val="22"/>
          <w:szCs w:val="22"/>
        </w:rPr>
        <w:t xml:space="preserve"> fakturu s novým termínem splatnosti. Ve vrácené faktuře musí </w:t>
      </w:r>
      <w:r w:rsidR="00416677" w:rsidRPr="00D22838">
        <w:rPr>
          <w:rFonts w:ascii="Arial" w:hAnsi="Arial" w:cs="Arial"/>
          <w:sz w:val="22"/>
          <w:szCs w:val="22"/>
        </w:rPr>
        <w:t>O</w:t>
      </w:r>
      <w:r w:rsidRPr="00D22838">
        <w:rPr>
          <w:rFonts w:ascii="Arial" w:hAnsi="Arial" w:cs="Arial"/>
          <w:sz w:val="22"/>
          <w:szCs w:val="22"/>
        </w:rPr>
        <w:t xml:space="preserve">bjednatel vyznačit důvod vrácení. </w:t>
      </w:r>
      <w:r w:rsidR="00BA32DB" w:rsidRPr="00D22838">
        <w:rPr>
          <w:rFonts w:ascii="Arial" w:hAnsi="Arial" w:cs="Arial"/>
          <w:sz w:val="22"/>
          <w:szCs w:val="22"/>
        </w:rPr>
        <w:t>Dodavatel</w:t>
      </w:r>
      <w:r w:rsidRPr="00D22838">
        <w:rPr>
          <w:rFonts w:ascii="Arial" w:hAnsi="Arial" w:cs="Arial"/>
          <w:sz w:val="22"/>
          <w:szCs w:val="22"/>
        </w:rPr>
        <w:t xml:space="preserve"> je povinen vystavit nov</w:t>
      </w:r>
      <w:r w:rsidR="00F1391B" w:rsidRPr="00D22838">
        <w:rPr>
          <w:rFonts w:ascii="Arial" w:hAnsi="Arial" w:cs="Arial"/>
          <w:sz w:val="22"/>
          <w:szCs w:val="22"/>
        </w:rPr>
        <w:t>ou</w:t>
      </w:r>
      <w:r w:rsidRPr="00D22838">
        <w:rPr>
          <w:rFonts w:ascii="Arial" w:hAnsi="Arial" w:cs="Arial"/>
          <w:sz w:val="22"/>
          <w:szCs w:val="22"/>
        </w:rPr>
        <w:t xml:space="preserve"> fakturu s tím, že oprávněným vrácením faktury přestává běžet původní lhůta splatnosti a běží nová lhůta</w:t>
      </w:r>
      <w:r w:rsidR="00F21EA9" w:rsidRPr="00D22838">
        <w:rPr>
          <w:rFonts w:ascii="Arial" w:hAnsi="Arial" w:cs="Arial"/>
          <w:sz w:val="22"/>
          <w:szCs w:val="22"/>
        </w:rPr>
        <w:t>,</w:t>
      </w:r>
      <w:r w:rsidRPr="00D22838">
        <w:rPr>
          <w:rFonts w:ascii="Arial" w:hAnsi="Arial" w:cs="Arial"/>
          <w:sz w:val="22"/>
          <w:szCs w:val="22"/>
        </w:rPr>
        <w:t xml:space="preserve"> stanovená v čl. </w:t>
      </w:r>
      <w:r w:rsidR="00F55BFD" w:rsidRPr="00D22838">
        <w:rPr>
          <w:rFonts w:ascii="Arial" w:hAnsi="Arial" w:cs="Arial"/>
          <w:sz w:val="22"/>
          <w:szCs w:val="22"/>
        </w:rPr>
        <w:t>III</w:t>
      </w:r>
      <w:r w:rsidRPr="00D22838">
        <w:rPr>
          <w:rFonts w:ascii="Arial" w:hAnsi="Arial" w:cs="Arial"/>
          <w:sz w:val="22"/>
          <w:szCs w:val="22"/>
        </w:rPr>
        <w:t>.</w:t>
      </w:r>
      <w:r w:rsidR="00F55BFD" w:rsidRPr="00D22838">
        <w:rPr>
          <w:rFonts w:ascii="Arial" w:hAnsi="Arial" w:cs="Arial"/>
          <w:sz w:val="22"/>
          <w:szCs w:val="22"/>
        </w:rPr>
        <w:t xml:space="preserve"> odst. </w:t>
      </w:r>
      <w:r w:rsidR="00397DAE">
        <w:rPr>
          <w:rFonts w:ascii="Arial" w:hAnsi="Arial" w:cs="Arial"/>
          <w:sz w:val="22"/>
          <w:szCs w:val="22"/>
        </w:rPr>
        <w:t>12</w:t>
      </w:r>
      <w:r w:rsidRPr="00D22838">
        <w:rPr>
          <w:rFonts w:ascii="Arial" w:hAnsi="Arial" w:cs="Arial"/>
          <w:sz w:val="22"/>
          <w:szCs w:val="22"/>
        </w:rPr>
        <w:t xml:space="preserve">. </w:t>
      </w:r>
      <w:r w:rsidR="00E51A9B" w:rsidRPr="00D22838">
        <w:rPr>
          <w:rFonts w:ascii="Arial" w:hAnsi="Arial" w:cs="Arial"/>
          <w:sz w:val="22"/>
          <w:szCs w:val="22"/>
        </w:rPr>
        <w:t>Dohody</w:t>
      </w:r>
      <w:r w:rsidR="00F21EA9" w:rsidRPr="00D22838">
        <w:rPr>
          <w:rFonts w:ascii="Arial" w:hAnsi="Arial" w:cs="Arial"/>
          <w:sz w:val="22"/>
          <w:szCs w:val="22"/>
        </w:rPr>
        <w:t>,</w:t>
      </w:r>
      <w:r w:rsidRPr="00D22838">
        <w:rPr>
          <w:rFonts w:ascii="Arial" w:hAnsi="Arial" w:cs="Arial"/>
          <w:sz w:val="22"/>
          <w:szCs w:val="22"/>
        </w:rPr>
        <w:t xml:space="preserve"> ode dne prokazatelného doručení opraveného a všemi náležitostmi opatřené faktury </w:t>
      </w:r>
      <w:r w:rsidR="00416677" w:rsidRPr="00D22838">
        <w:rPr>
          <w:rFonts w:ascii="Arial" w:hAnsi="Arial" w:cs="Arial"/>
          <w:sz w:val="22"/>
          <w:szCs w:val="22"/>
        </w:rPr>
        <w:t>O</w:t>
      </w:r>
      <w:r w:rsidRPr="00D22838">
        <w:rPr>
          <w:rFonts w:ascii="Arial" w:hAnsi="Arial" w:cs="Arial"/>
          <w:sz w:val="22"/>
          <w:szCs w:val="22"/>
        </w:rPr>
        <w:t>bjednateli.</w:t>
      </w:r>
    </w:p>
    <w:p w14:paraId="30977A5B" w14:textId="701FCF77" w:rsidR="00E40B59" w:rsidRPr="00D22838" w:rsidRDefault="00683200" w:rsidP="000940CF">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Dodavatel prohlašuje, že není veden v registru nespolehlivých plátců DPH a že číslo bankovního účtu </w:t>
      </w:r>
      <w:r w:rsidR="00416677" w:rsidRPr="00D22838">
        <w:rPr>
          <w:rFonts w:ascii="Arial" w:hAnsi="Arial" w:cs="Arial"/>
          <w:sz w:val="22"/>
          <w:szCs w:val="22"/>
        </w:rPr>
        <w:t>D</w:t>
      </w:r>
      <w:r w:rsidRPr="00D22838">
        <w:rPr>
          <w:rFonts w:ascii="Arial" w:hAnsi="Arial" w:cs="Arial"/>
          <w:sz w:val="22"/>
          <w:szCs w:val="22"/>
        </w:rPr>
        <w:t>odavatele</w:t>
      </w:r>
      <w:r w:rsidR="00DC4AC6" w:rsidRPr="00D22838">
        <w:rPr>
          <w:rFonts w:ascii="Arial" w:hAnsi="Arial" w:cs="Arial"/>
          <w:sz w:val="22"/>
          <w:szCs w:val="22"/>
        </w:rPr>
        <w:t xml:space="preserve"> uvedené v Dohod</w:t>
      </w:r>
      <w:r w:rsidRPr="00D22838">
        <w:rPr>
          <w:rFonts w:ascii="Arial" w:hAnsi="Arial" w:cs="Arial"/>
          <w:sz w:val="22"/>
          <w:szCs w:val="22"/>
        </w:rPr>
        <w:t xml:space="preserve">ě či později písemně oznámené </w:t>
      </w:r>
      <w:r w:rsidR="00416677" w:rsidRPr="00D22838">
        <w:rPr>
          <w:rFonts w:ascii="Arial" w:hAnsi="Arial" w:cs="Arial"/>
          <w:sz w:val="22"/>
          <w:szCs w:val="22"/>
        </w:rPr>
        <w:t>O</w:t>
      </w:r>
      <w:r w:rsidRPr="00D22838">
        <w:rPr>
          <w:rFonts w:ascii="Arial" w:hAnsi="Arial" w:cs="Arial"/>
          <w:sz w:val="22"/>
          <w:szCs w:val="22"/>
        </w:rPr>
        <w:t xml:space="preserve">bjednateli je ohledně </w:t>
      </w:r>
      <w:r w:rsidR="00416677" w:rsidRPr="00D22838">
        <w:rPr>
          <w:rFonts w:ascii="Arial" w:hAnsi="Arial" w:cs="Arial"/>
          <w:sz w:val="22"/>
          <w:szCs w:val="22"/>
        </w:rPr>
        <w:t>D</w:t>
      </w:r>
      <w:r w:rsidRPr="00D22838">
        <w:rPr>
          <w:rFonts w:ascii="Arial" w:hAnsi="Arial" w:cs="Arial"/>
          <w:sz w:val="22"/>
          <w:szCs w:val="22"/>
        </w:rPr>
        <w:t>odavatele řádně uvedeno v registru plátců DPH</w:t>
      </w:r>
      <w:r w:rsidR="00F74B7B" w:rsidRPr="00D22838">
        <w:rPr>
          <w:rFonts w:ascii="Arial" w:hAnsi="Arial" w:cs="Arial"/>
          <w:sz w:val="22"/>
          <w:szCs w:val="22"/>
        </w:rPr>
        <w:t>,</w:t>
      </w:r>
      <w:r w:rsidRPr="00D22838">
        <w:rPr>
          <w:rFonts w:ascii="Arial" w:hAnsi="Arial" w:cs="Arial"/>
          <w:sz w:val="22"/>
          <w:szCs w:val="22"/>
        </w:rPr>
        <w:t xml:space="preserve"> jako bankovní účet určený ke zveřejnění. Dodavatel se zavazuje, že stane-li se po dobu trvání </w:t>
      </w:r>
      <w:r w:rsidR="00E51A9B" w:rsidRPr="00D22838">
        <w:rPr>
          <w:rFonts w:ascii="Arial" w:hAnsi="Arial" w:cs="Arial"/>
          <w:sz w:val="22"/>
          <w:szCs w:val="22"/>
        </w:rPr>
        <w:t>Dohody</w:t>
      </w:r>
      <w:r w:rsidRPr="00D22838">
        <w:rPr>
          <w:rFonts w:ascii="Arial" w:hAnsi="Arial" w:cs="Arial"/>
          <w:sz w:val="22"/>
          <w:szCs w:val="22"/>
        </w:rPr>
        <w:t xml:space="preserve"> nespolehlivým plátcem ve smyslu zákona č. 235/2004 Sb., o dani z přidané hodnoty, </w:t>
      </w:r>
      <w:r w:rsidR="00540525">
        <w:rPr>
          <w:rFonts w:ascii="Arial" w:hAnsi="Arial" w:cs="Arial"/>
          <w:sz w:val="22"/>
          <w:szCs w:val="22"/>
        </w:rPr>
        <w:t>ve znění pozdějších předpisů</w:t>
      </w:r>
      <w:r w:rsidRPr="00D22838">
        <w:rPr>
          <w:rFonts w:ascii="Arial" w:hAnsi="Arial" w:cs="Arial"/>
          <w:sz w:val="22"/>
          <w:szCs w:val="22"/>
        </w:rPr>
        <w:t xml:space="preserve"> (dále jen „Nespolehlivý plátce“), oznámí tuto skutečnost neprodleně písemně </w:t>
      </w:r>
      <w:r w:rsidR="00416677" w:rsidRPr="00D22838">
        <w:rPr>
          <w:rFonts w:ascii="Arial" w:hAnsi="Arial" w:cs="Arial"/>
          <w:sz w:val="22"/>
          <w:szCs w:val="22"/>
        </w:rPr>
        <w:t>O</w:t>
      </w:r>
      <w:r w:rsidRPr="00D22838">
        <w:rPr>
          <w:rFonts w:ascii="Arial" w:hAnsi="Arial" w:cs="Arial"/>
          <w:sz w:val="22"/>
          <w:szCs w:val="22"/>
        </w:rPr>
        <w:t>bjednateli. Dodavatel</w:t>
      </w:r>
      <w:r w:rsidR="00416677" w:rsidRPr="00D22838">
        <w:rPr>
          <w:rFonts w:ascii="Arial" w:hAnsi="Arial" w:cs="Arial"/>
          <w:sz w:val="22"/>
          <w:szCs w:val="22"/>
        </w:rPr>
        <w:t xml:space="preserve"> se</w:t>
      </w:r>
      <w:r w:rsidRPr="00D22838">
        <w:rPr>
          <w:rFonts w:ascii="Arial" w:hAnsi="Arial" w:cs="Arial"/>
          <w:sz w:val="22"/>
          <w:szCs w:val="22"/>
        </w:rPr>
        <w:t xml:space="preserve"> zavazuje zaplatit </w:t>
      </w:r>
      <w:r w:rsidR="00416677" w:rsidRPr="00D22838">
        <w:rPr>
          <w:rFonts w:ascii="Arial" w:hAnsi="Arial" w:cs="Arial"/>
          <w:sz w:val="22"/>
          <w:szCs w:val="22"/>
        </w:rPr>
        <w:t>O</w:t>
      </w:r>
      <w:r w:rsidRPr="00D22838">
        <w:rPr>
          <w:rFonts w:ascii="Arial" w:hAnsi="Arial" w:cs="Arial"/>
          <w:sz w:val="22"/>
          <w:szCs w:val="22"/>
        </w:rPr>
        <w:t>bjednateli s</w:t>
      </w:r>
      <w:r w:rsidR="004E5398" w:rsidRPr="00D22838">
        <w:rPr>
          <w:rFonts w:ascii="Arial" w:hAnsi="Arial" w:cs="Arial"/>
          <w:sz w:val="22"/>
          <w:szCs w:val="22"/>
        </w:rPr>
        <w:t>mluvní pokutu ve výši 100.000,-</w:t>
      </w:r>
      <w:r w:rsidRPr="00D22838">
        <w:rPr>
          <w:rFonts w:ascii="Arial" w:hAnsi="Arial" w:cs="Arial"/>
          <w:sz w:val="22"/>
          <w:szCs w:val="22"/>
        </w:rPr>
        <w:t xml:space="preserve">Kč pro případ porušení povinnosti </w:t>
      </w:r>
      <w:r w:rsidR="00416677" w:rsidRPr="00D22838">
        <w:rPr>
          <w:rFonts w:ascii="Arial" w:hAnsi="Arial" w:cs="Arial"/>
          <w:sz w:val="22"/>
          <w:szCs w:val="22"/>
        </w:rPr>
        <w:t>D</w:t>
      </w:r>
      <w:r w:rsidR="000D6486" w:rsidRPr="00D22838">
        <w:rPr>
          <w:rFonts w:ascii="Arial" w:hAnsi="Arial" w:cs="Arial"/>
          <w:sz w:val="22"/>
          <w:szCs w:val="22"/>
        </w:rPr>
        <w:t>odavatele</w:t>
      </w:r>
      <w:r w:rsidRPr="00D22838">
        <w:rPr>
          <w:rFonts w:ascii="Arial" w:hAnsi="Arial" w:cs="Arial"/>
          <w:sz w:val="22"/>
          <w:szCs w:val="22"/>
        </w:rPr>
        <w:t xml:space="preserve"> oznámit </w:t>
      </w:r>
      <w:r w:rsidR="00416677" w:rsidRPr="00D22838">
        <w:rPr>
          <w:rFonts w:ascii="Arial" w:hAnsi="Arial" w:cs="Arial"/>
          <w:sz w:val="22"/>
          <w:szCs w:val="22"/>
        </w:rPr>
        <w:t>O</w:t>
      </w:r>
      <w:r w:rsidRPr="00D22838">
        <w:rPr>
          <w:rFonts w:ascii="Arial" w:hAnsi="Arial" w:cs="Arial"/>
          <w:sz w:val="22"/>
          <w:szCs w:val="22"/>
        </w:rPr>
        <w:t xml:space="preserve">bjednateli, že se </w:t>
      </w:r>
      <w:r w:rsidR="00416677" w:rsidRPr="00D22838">
        <w:rPr>
          <w:rFonts w:ascii="Arial" w:hAnsi="Arial" w:cs="Arial"/>
          <w:sz w:val="22"/>
          <w:szCs w:val="22"/>
        </w:rPr>
        <w:t>D</w:t>
      </w:r>
      <w:r w:rsidRPr="00D22838">
        <w:rPr>
          <w:rFonts w:ascii="Arial" w:hAnsi="Arial" w:cs="Arial"/>
          <w:sz w:val="22"/>
          <w:szCs w:val="22"/>
        </w:rPr>
        <w:t>odavatel stal Nespolehlivým plátcem a</w:t>
      </w:r>
      <w:r w:rsidR="000D6486" w:rsidRPr="00D22838">
        <w:rPr>
          <w:rFonts w:ascii="Arial" w:hAnsi="Arial" w:cs="Arial"/>
          <w:sz w:val="22"/>
          <w:szCs w:val="22"/>
        </w:rPr>
        <w:t>/nebo pro případ, že</w:t>
      </w:r>
      <w:r w:rsidRPr="00D22838">
        <w:rPr>
          <w:rFonts w:ascii="Arial" w:hAnsi="Arial" w:cs="Arial"/>
          <w:sz w:val="22"/>
          <w:szCs w:val="22"/>
        </w:rPr>
        <w:t xml:space="preserve"> </w:t>
      </w:r>
      <w:r w:rsidR="00416677" w:rsidRPr="00D22838">
        <w:rPr>
          <w:rFonts w:ascii="Arial" w:hAnsi="Arial" w:cs="Arial"/>
          <w:sz w:val="22"/>
          <w:szCs w:val="22"/>
        </w:rPr>
        <w:t>D</w:t>
      </w:r>
      <w:r w:rsidRPr="00D22838">
        <w:rPr>
          <w:rFonts w:ascii="Arial" w:hAnsi="Arial" w:cs="Arial"/>
          <w:sz w:val="22"/>
          <w:szCs w:val="22"/>
        </w:rPr>
        <w:t>odavatel</w:t>
      </w:r>
      <w:r w:rsidR="00F21EA9" w:rsidRPr="00D22838">
        <w:rPr>
          <w:rFonts w:ascii="Arial" w:hAnsi="Arial" w:cs="Arial"/>
          <w:sz w:val="22"/>
          <w:szCs w:val="22"/>
        </w:rPr>
        <w:t>,</w:t>
      </w:r>
      <w:r w:rsidRPr="00D22838">
        <w:rPr>
          <w:rFonts w:ascii="Arial" w:hAnsi="Arial" w:cs="Arial"/>
          <w:sz w:val="22"/>
          <w:szCs w:val="22"/>
        </w:rPr>
        <w:t xml:space="preserve"> jako číslo bankovního účtu pro účely placení měsíční ceny</w:t>
      </w:r>
      <w:r w:rsidR="00F21EA9" w:rsidRPr="00D22838">
        <w:rPr>
          <w:rFonts w:ascii="Arial" w:hAnsi="Arial" w:cs="Arial"/>
          <w:sz w:val="22"/>
          <w:szCs w:val="22"/>
        </w:rPr>
        <w:t>,</w:t>
      </w:r>
      <w:r w:rsidRPr="00D22838">
        <w:rPr>
          <w:rFonts w:ascii="Arial" w:hAnsi="Arial" w:cs="Arial"/>
          <w:sz w:val="22"/>
          <w:szCs w:val="22"/>
        </w:rPr>
        <w:t xml:space="preserve"> sdělí </w:t>
      </w:r>
      <w:r w:rsidR="00416677" w:rsidRPr="00D22838">
        <w:rPr>
          <w:rFonts w:ascii="Arial" w:hAnsi="Arial" w:cs="Arial"/>
          <w:sz w:val="22"/>
          <w:szCs w:val="22"/>
        </w:rPr>
        <w:t>O</w:t>
      </w:r>
      <w:r w:rsidRPr="00D22838">
        <w:rPr>
          <w:rFonts w:ascii="Arial" w:hAnsi="Arial" w:cs="Arial"/>
          <w:sz w:val="22"/>
          <w:szCs w:val="22"/>
        </w:rPr>
        <w:t xml:space="preserve">bjednateli bankovní účet, který nebyl ohledně </w:t>
      </w:r>
      <w:r w:rsidR="00416677" w:rsidRPr="00D22838">
        <w:rPr>
          <w:rFonts w:ascii="Arial" w:hAnsi="Arial" w:cs="Arial"/>
          <w:sz w:val="22"/>
          <w:szCs w:val="22"/>
        </w:rPr>
        <w:t>D</w:t>
      </w:r>
      <w:r w:rsidRPr="00D22838">
        <w:rPr>
          <w:rFonts w:ascii="Arial" w:hAnsi="Arial" w:cs="Arial"/>
          <w:sz w:val="22"/>
          <w:szCs w:val="22"/>
        </w:rPr>
        <w:t xml:space="preserve">odavatele zveřejněn v registru plátců DPH. Stane-li se </w:t>
      </w:r>
      <w:r w:rsidR="00416677" w:rsidRPr="00D22838">
        <w:rPr>
          <w:rFonts w:ascii="Arial" w:hAnsi="Arial" w:cs="Arial"/>
          <w:sz w:val="22"/>
          <w:szCs w:val="22"/>
        </w:rPr>
        <w:t>D</w:t>
      </w:r>
      <w:r w:rsidRPr="00D22838">
        <w:rPr>
          <w:rFonts w:ascii="Arial" w:hAnsi="Arial" w:cs="Arial"/>
          <w:sz w:val="22"/>
          <w:szCs w:val="22"/>
        </w:rPr>
        <w:t xml:space="preserve">odavatel </w:t>
      </w:r>
      <w:r w:rsidR="00907722" w:rsidRPr="00D22838">
        <w:rPr>
          <w:rFonts w:ascii="Arial" w:hAnsi="Arial" w:cs="Arial"/>
          <w:sz w:val="22"/>
          <w:szCs w:val="22"/>
        </w:rPr>
        <w:t>n</w:t>
      </w:r>
      <w:r w:rsidRPr="00D22838">
        <w:rPr>
          <w:rFonts w:ascii="Arial" w:hAnsi="Arial" w:cs="Arial"/>
          <w:sz w:val="22"/>
          <w:szCs w:val="22"/>
        </w:rPr>
        <w:t>espolehlivým plátcem</w:t>
      </w:r>
      <w:r w:rsidR="00907722" w:rsidRPr="00D22838">
        <w:rPr>
          <w:rFonts w:ascii="Arial" w:hAnsi="Arial" w:cs="Arial"/>
          <w:sz w:val="22"/>
          <w:szCs w:val="22"/>
        </w:rPr>
        <w:t xml:space="preserve"> před uhrazením faktury</w:t>
      </w:r>
      <w:r w:rsidRPr="00D22838">
        <w:rPr>
          <w:rFonts w:ascii="Arial" w:hAnsi="Arial" w:cs="Arial"/>
          <w:sz w:val="22"/>
          <w:szCs w:val="22"/>
        </w:rPr>
        <w:t xml:space="preserve">, je </w:t>
      </w:r>
      <w:r w:rsidR="00416677" w:rsidRPr="00D22838">
        <w:rPr>
          <w:rFonts w:ascii="Arial" w:hAnsi="Arial" w:cs="Arial"/>
          <w:sz w:val="22"/>
          <w:szCs w:val="22"/>
        </w:rPr>
        <w:t>O</w:t>
      </w:r>
      <w:r w:rsidRPr="00D22838">
        <w:rPr>
          <w:rFonts w:ascii="Arial" w:hAnsi="Arial" w:cs="Arial"/>
          <w:sz w:val="22"/>
          <w:szCs w:val="22"/>
        </w:rPr>
        <w:t xml:space="preserve">bjednatel oprávněn zaplatit daň z přidané hodnoty, kterou mu fakturoval </w:t>
      </w:r>
      <w:r w:rsidR="00416677" w:rsidRPr="00D22838">
        <w:rPr>
          <w:rFonts w:ascii="Arial" w:hAnsi="Arial" w:cs="Arial"/>
          <w:sz w:val="22"/>
          <w:szCs w:val="22"/>
        </w:rPr>
        <w:t>D</w:t>
      </w:r>
      <w:r w:rsidRPr="00D22838">
        <w:rPr>
          <w:rFonts w:ascii="Arial" w:hAnsi="Arial" w:cs="Arial"/>
          <w:sz w:val="22"/>
          <w:szCs w:val="22"/>
        </w:rPr>
        <w:t xml:space="preserve">odavatel, přímo na účet příslušného správce daně </w:t>
      </w:r>
      <w:r w:rsidR="00416677" w:rsidRPr="00D22838">
        <w:rPr>
          <w:rFonts w:ascii="Arial" w:hAnsi="Arial" w:cs="Arial"/>
          <w:sz w:val="22"/>
          <w:szCs w:val="22"/>
        </w:rPr>
        <w:t>D</w:t>
      </w:r>
      <w:r w:rsidR="00907722" w:rsidRPr="00D22838">
        <w:rPr>
          <w:rFonts w:ascii="Arial" w:hAnsi="Arial" w:cs="Arial"/>
          <w:sz w:val="22"/>
          <w:szCs w:val="22"/>
        </w:rPr>
        <w:t xml:space="preserve">odavatele s tím, že </w:t>
      </w:r>
      <w:r w:rsidRPr="00D22838">
        <w:rPr>
          <w:rFonts w:ascii="Arial" w:hAnsi="Arial" w:cs="Arial"/>
          <w:sz w:val="22"/>
          <w:szCs w:val="22"/>
        </w:rPr>
        <w:t xml:space="preserve">cena dle </w:t>
      </w:r>
      <w:r w:rsidR="00907722" w:rsidRPr="00D22838">
        <w:rPr>
          <w:rFonts w:ascii="Arial" w:hAnsi="Arial" w:cs="Arial"/>
          <w:sz w:val="22"/>
          <w:szCs w:val="22"/>
        </w:rPr>
        <w:t>Dohody</w:t>
      </w:r>
      <w:r w:rsidRPr="00D22838">
        <w:rPr>
          <w:rFonts w:ascii="Arial" w:hAnsi="Arial" w:cs="Arial"/>
          <w:sz w:val="22"/>
          <w:szCs w:val="22"/>
        </w:rPr>
        <w:t xml:space="preserve"> bude v části odpovídající dani z přidané hodnoty </w:t>
      </w:r>
      <w:r w:rsidR="00416677" w:rsidRPr="00D22838">
        <w:rPr>
          <w:rFonts w:ascii="Arial" w:hAnsi="Arial" w:cs="Arial"/>
          <w:sz w:val="22"/>
          <w:szCs w:val="22"/>
        </w:rPr>
        <w:t>D</w:t>
      </w:r>
      <w:r w:rsidRPr="00D22838">
        <w:rPr>
          <w:rFonts w:ascii="Arial" w:hAnsi="Arial" w:cs="Arial"/>
          <w:sz w:val="22"/>
          <w:szCs w:val="22"/>
        </w:rPr>
        <w:t>odavateli řádně uhrazena ze st</w:t>
      </w:r>
      <w:r w:rsidR="00626281" w:rsidRPr="00D22838">
        <w:rPr>
          <w:rFonts w:ascii="Arial" w:hAnsi="Arial" w:cs="Arial"/>
          <w:sz w:val="22"/>
          <w:szCs w:val="22"/>
        </w:rPr>
        <w:t>r</w:t>
      </w:r>
      <w:r w:rsidRPr="00D22838">
        <w:rPr>
          <w:rFonts w:ascii="Arial" w:hAnsi="Arial" w:cs="Arial"/>
          <w:sz w:val="22"/>
          <w:szCs w:val="22"/>
        </w:rPr>
        <w:t xml:space="preserve">any </w:t>
      </w:r>
      <w:r w:rsidR="00416677" w:rsidRPr="00D22838">
        <w:rPr>
          <w:rFonts w:ascii="Arial" w:hAnsi="Arial" w:cs="Arial"/>
          <w:sz w:val="22"/>
          <w:szCs w:val="22"/>
        </w:rPr>
        <w:t>O</w:t>
      </w:r>
      <w:r w:rsidRPr="00D22838">
        <w:rPr>
          <w:rFonts w:ascii="Arial" w:hAnsi="Arial" w:cs="Arial"/>
          <w:sz w:val="22"/>
          <w:szCs w:val="22"/>
        </w:rPr>
        <w:t xml:space="preserve">bjednatele formou tohoto zaplacení daně z přidané hodnoty přímo finančnímu úřadu. Pokud finanční úřad vyzve </w:t>
      </w:r>
      <w:r w:rsidR="00416677" w:rsidRPr="00D22838">
        <w:rPr>
          <w:rFonts w:ascii="Arial" w:hAnsi="Arial" w:cs="Arial"/>
          <w:sz w:val="22"/>
          <w:szCs w:val="22"/>
        </w:rPr>
        <w:t>O</w:t>
      </w:r>
      <w:r w:rsidRPr="00D22838">
        <w:rPr>
          <w:rFonts w:ascii="Arial" w:hAnsi="Arial" w:cs="Arial"/>
          <w:sz w:val="22"/>
          <w:szCs w:val="22"/>
        </w:rPr>
        <w:t xml:space="preserve">bjednatele po uhrazení faktury </w:t>
      </w:r>
      <w:r w:rsidR="00416677" w:rsidRPr="00D22838">
        <w:rPr>
          <w:rFonts w:ascii="Arial" w:hAnsi="Arial" w:cs="Arial"/>
          <w:sz w:val="22"/>
          <w:szCs w:val="22"/>
        </w:rPr>
        <w:t>D</w:t>
      </w:r>
      <w:r w:rsidRPr="00D22838">
        <w:rPr>
          <w:rFonts w:ascii="Arial" w:hAnsi="Arial" w:cs="Arial"/>
          <w:sz w:val="22"/>
          <w:szCs w:val="22"/>
        </w:rPr>
        <w:t xml:space="preserve">odavatele k placení DPH nezaplacenému </w:t>
      </w:r>
      <w:r w:rsidR="00416677" w:rsidRPr="00D22838">
        <w:rPr>
          <w:rFonts w:ascii="Arial" w:hAnsi="Arial" w:cs="Arial"/>
          <w:sz w:val="22"/>
          <w:szCs w:val="22"/>
        </w:rPr>
        <w:t>D</w:t>
      </w:r>
      <w:r w:rsidRPr="00D22838">
        <w:rPr>
          <w:rFonts w:ascii="Arial" w:hAnsi="Arial" w:cs="Arial"/>
          <w:sz w:val="22"/>
          <w:szCs w:val="22"/>
        </w:rPr>
        <w:t xml:space="preserve">odavatelem při realizaci </w:t>
      </w:r>
      <w:r w:rsidR="00907722" w:rsidRPr="00D22838">
        <w:rPr>
          <w:rFonts w:ascii="Arial" w:hAnsi="Arial" w:cs="Arial"/>
          <w:sz w:val="22"/>
          <w:szCs w:val="22"/>
        </w:rPr>
        <w:t>Doho</w:t>
      </w:r>
      <w:r w:rsidR="00E723CD" w:rsidRPr="00D22838">
        <w:rPr>
          <w:rFonts w:ascii="Arial" w:hAnsi="Arial" w:cs="Arial"/>
          <w:sz w:val="22"/>
          <w:szCs w:val="22"/>
        </w:rPr>
        <w:t>d</w:t>
      </w:r>
      <w:r w:rsidRPr="00D22838">
        <w:rPr>
          <w:rFonts w:ascii="Arial" w:hAnsi="Arial" w:cs="Arial"/>
          <w:sz w:val="22"/>
          <w:szCs w:val="22"/>
        </w:rPr>
        <w:t xml:space="preserve">y, je </w:t>
      </w:r>
      <w:r w:rsidR="00416677" w:rsidRPr="00D22838">
        <w:rPr>
          <w:rFonts w:ascii="Arial" w:hAnsi="Arial" w:cs="Arial"/>
          <w:sz w:val="22"/>
          <w:szCs w:val="22"/>
        </w:rPr>
        <w:t>D</w:t>
      </w:r>
      <w:r w:rsidRPr="00D22838">
        <w:rPr>
          <w:rFonts w:ascii="Arial" w:hAnsi="Arial" w:cs="Arial"/>
          <w:sz w:val="22"/>
          <w:szCs w:val="22"/>
        </w:rPr>
        <w:t xml:space="preserve">odavatel povinen zaplatit </w:t>
      </w:r>
      <w:r w:rsidR="00416677" w:rsidRPr="00D22838">
        <w:rPr>
          <w:rFonts w:ascii="Arial" w:hAnsi="Arial" w:cs="Arial"/>
          <w:sz w:val="22"/>
          <w:szCs w:val="22"/>
        </w:rPr>
        <w:t>O</w:t>
      </w:r>
      <w:r w:rsidRPr="00D22838">
        <w:rPr>
          <w:rFonts w:ascii="Arial" w:hAnsi="Arial" w:cs="Arial"/>
          <w:sz w:val="22"/>
          <w:szCs w:val="22"/>
        </w:rPr>
        <w:t xml:space="preserve">bjednateli částku, kterou takto bude povinen </w:t>
      </w:r>
      <w:r w:rsidR="00416677" w:rsidRPr="00D22838">
        <w:rPr>
          <w:rFonts w:ascii="Arial" w:hAnsi="Arial" w:cs="Arial"/>
          <w:sz w:val="22"/>
          <w:szCs w:val="22"/>
        </w:rPr>
        <w:t>O</w:t>
      </w:r>
      <w:r w:rsidRPr="00D22838">
        <w:rPr>
          <w:rFonts w:ascii="Arial" w:hAnsi="Arial" w:cs="Arial"/>
          <w:sz w:val="22"/>
          <w:szCs w:val="22"/>
        </w:rPr>
        <w:t xml:space="preserve">bjednatel finančnímu úřadu uhradit, a to do 5 pracovních dnů ode dne oznámení </w:t>
      </w:r>
      <w:r w:rsidR="00416677" w:rsidRPr="00D22838">
        <w:rPr>
          <w:rFonts w:ascii="Arial" w:hAnsi="Arial" w:cs="Arial"/>
          <w:sz w:val="22"/>
          <w:szCs w:val="22"/>
        </w:rPr>
        <w:t>O</w:t>
      </w:r>
      <w:r w:rsidRPr="00D22838">
        <w:rPr>
          <w:rFonts w:ascii="Arial" w:hAnsi="Arial" w:cs="Arial"/>
          <w:sz w:val="22"/>
          <w:szCs w:val="22"/>
        </w:rPr>
        <w:t xml:space="preserve">bjednatele </w:t>
      </w:r>
      <w:r w:rsidR="00416677" w:rsidRPr="00D22838">
        <w:rPr>
          <w:rFonts w:ascii="Arial" w:hAnsi="Arial" w:cs="Arial"/>
          <w:sz w:val="22"/>
          <w:szCs w:val="22"/>
        </w:rPr>
        <w:t>D</w:t>
      </w:r>
      <w:r w:rsidRPr="00D22838">
        <w:rPr>
          <w:rFonts w:ascii="Arial" w:hAnsi="Arial" w:cs="Arial"/>
          <w:sz w:val="22"/>
          <w:szCs w:val="22"/>
        </w:rPr>
        <w:t>odavateli.</w:t>
      </w:r>
    </w:p>
    <w:p w14:paraId="401AA6C7" w14:textId="39560B0C" w:rsidR="00907514" w:rsidRPr="00D22838" w:rsidRDefault="005F1012" w:rsidP="00266804">
      <w:pPr>
        <w:widowControl w:val="0"/>
        <w:autoSpaceDE w:val="0"/>
        <w:autoSpaceDN w:val="0"/>
        <w:adjustRightInd w:val="0"/>
        <w:spacing w:before="240"/>
        <w:jc w:val="center"/>
        <w:rPr>
          <w:rFonts w:ascii="Arial" w:hAnsi="Arial" w:cs="Arial"/>
          <w:b/>
          <w:sz w:val="22"/>
          <w:szCs w:val="22"/>
        </w:rPr>
      </w:pPr>
      <w:r w:rsidRPr="00D22838">
        <w:rPr>
          <w:rFonts w:ascii="Arial" w:hAnsi="Arial" w:cs="Arial"/>
          <w:b/>
          <w:sz w:val="22"/>
          <w:szCs w:val="22"/>
        </w:rPr>
        <w:lastRenderedPageBreak/>
        <w:t>I</w:t>
      </w:r>
      <w:r w:rsidR="00907514" w:rsidRPr="00D22838">
        <w:rPr>
          <w:rFonts w:ascii="Arial" w:hAnsi="Arial" w:cs="Arial"/>
          <w:b/>
          <w:sz w:val="22"/>
          <w:szCs w:val="22"/>
        </w:rPr>
        <w:t>V.</w:t>
      </w:r>
    </w:p>
    <w:p w14:paraId="597D0538" w14:textId="55F47384" w:rsidR="00907514" w:rsidRPr="00D22838" w:rsidRDefault="00907514" w:rsidP="00B1276B">
      <w:pPr>
        <w:widowControl w:val="0"/>
        <w:autoSpaceDE w:val="0"/>
        <w:autoSpaceDN w:val="0"/>
        <w:adjustRightInd w:val="0"/>
        <w:spacing w:after="120" w:line="240" w:lineRule="atLeast"/>
        <w:jc w:val="center"/>
        <w:rPr>
          <w:rFonts w:ascii="Arial" w:hAnsi="Arial" w:cs="Arial"/>
          <w:sz w:val="22"/>
          <w:szCs w:val="22"/>
        </w:rPr>
      </w:pPr>
      <w:r w:rsidRPr="00D22838">
        <w:rPr>
          <w:rFonts w:ascii="Arial" w:hAnsi="Arial" w:cs="Arial"/>
          <w:b/>
          <w:sz w:val="22"/>
          <w:szCs w:val="22"/>
          <w:u w:val="single"/>
        </w:rPr>
        <w:t xml:space="preserve">Trvání a platnost </w:t>
      </w:r>
      <w:r w:rsidR="00DC4AC6" w:rsidRPr="00D22838">
        <w:rPr>
          <w:rFonts w:ascii="Arial" w:hAnsi="Arial" w:cs="Arial"/>
          <w:b/>
          <w:sz w:val="22"/>
          <w:szCs w:val="22"/>
          <w:u w:val="single"/>
        </w:rPr>
        <w:t>Dohody</w:t>
      </w:r>
    </w:p>
    <w:p w14:paraId="67B34363" w14:textId="1B89EE2E" w:rsidR="00907514" w:rsidRPr="00D22838" w:rsidRDefault="00CA0BD3" w:rsidP="000940CF">
      <w:pPr>
        <w:pStyle w:val="Odstavecseseznamem"/>
        <w:widowControl w:val="0"/>
        <w:numPr>
          <w:ilvl w:val="0"/>
          <w:numId w:val="8"/>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T</w:t>
      </w:r>
      <w:r w:rsidR="00BA32DB" w:rsidRPr="00D22838">
        <w:rPr>
          <w:rFonts w:ascii="Arial" w:hAnsi="Arial" w:cs="Arial"/>
          <w:sz w:val="22"/>
          <w:szCs w:val="22"/>
        </w:rPr>
        <w:t>a</w:t>
      </w:r>
      <w:r w:rsidR="00B324F7" w:rsidRPr="00D22838">
        <w:rPr>
          <w:rFonts w:ascii="Arial" w:hAnsi="Arial" w:cs="Arial"/>
          <w:sz w:val="22"/>
          <w:szCs w:val="22"/>
        </w:rPr>
        <w:t xml:space="preserve">to </w:t>
      </w:r>
      <w:r w:rsidR="00DC4AC6" w:rsidRPr="00D22838">
        <w:rPr>
          <w:rFonts w:ascii="Arial" w:hAnsi="Arial" w:cs="Arial"/>
          <w:sz w:val="22"/>
          <w:szCs w:val="22"/>
        </w:rPr>
        <w:t>Dohod</w:t>
      </w:r>
      <w:r w:rsidR="00B324F7" w:rsidRPr="00D22838">
        <w:rPr>
          <w:rFonts w:ascii="Arial" w:hAnsi="Arial" w:cs="Arial"/>
          <w:sz w:val="22"/>
          <w:szCs w:val="22"/>
        </w:rPr>
        <w:t>a se uzavírá na dobu určitou</w:t>
      </w:r>
      <w:r w:rsidR="00626281" w:rsidRPr="00D22838">
        <w:rPr>
          <w:rFonts w:ascii="Arial" w:hAnsi="Arial" w:cs="Arial"/>
          <w:sz w:val="22"/>
          <w:szCs w:val="22"/>
        </w:rPr>
        <w:t>,</w:t>
      </w:r>
      <w:r w:rsidR="005B4612" w:rsidRPr="00D22838">
        <w:rPr>
          <w:rFonts w:ascii="Arial" w:hAnsi="Arial" w:cs="Arial"/>
          <w:sz w:val="22"/>
          <w:szCs w:val="22"/>
        </w:rPr>
        <w:t xml:space="preserve"> </w:t>
      </w:r>
      <w:r w:rsidR="0093690A" w:rsidRPr="00D22838">
        <w:rPr>
          <w:rFonts w:ascii="Arial" w:hAnsi="Arial" w:cs="Arial"/>
          <w:sz w:val="22"/>
          <w:szCs w:val="22"/>
        </w:rPr>
        <w:t>a to na</w:t>
      </w:r>
      <w:r w:rsidR="00C14997">
        <w:rPr>
          <w:rFonts w:ascii="Arial" w:hAnsi="Arial" w:cs="Arial"/>
          <w:sz w:val="22"/>
          <w:szCs w:val="22"/>
        </w:rPr>
        <w:t xml:space="preserve"> </w:t>
      </w:r>
      <w:r w:rsidR="00E723CD" w:rsidRPr="00D22838">
        <w:rPr>
          <w:rFonts w:ascii="Arial" w:hAnsi="Arial" w:cs="Arial"/>
          <w:sz w:val="22"/>
          <w:szCs w:val="22"/>
        </w:rPr>
        <w:t>48</w:t>
      </w:r>
      <w:r w:rsidR="0093690A" w:rsidRPr="00D22838">
        <w:rPr>
          <w:rFonts w:ascii="Arial" w:hAnsi="Arial" w:cs="Arial"/>
          <w:sz w:val="22"/>
          <w:szCs w:val="22"/>
        </w:rPr>
        <w:t xml:space="preserve"> měsíců</w:t>
      </w:r>
      <w:r w:rsidR="00964825">
        <w:rPr>
          <w:rFonts w:ascii="Arial" w:hAnsi="Arial" w:cs="Arial"/>
          <w:sz w:val="22"/>
          <w:szCs w:val="22"/>
        </w:rPr>
        <w:t xml:space="preserve"> ode dne účinnosti Dohody.</w:t>
      </w:r>
    </w:p>
    <w:p w14:paraId="523CB511" w14:textId="5658D31A" w:rsidR="00E2495A" w:rsidRPr="00D22838" w:rsidRDefault="00DC4AC6" w:rsidP="000940CF">
      <w:pPr>
        <w:pStyle w:val="Odstavecseseznamem"/>
        <w:widowControl w:val="0"/>
        <w:numPr>
          <w:ilvl w:val="0"/>
          <w:numId w:val="8"/>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Dohod</w:t>
      </w:r>
      <w:r w:rsidR="00E2495A" w:rsidRPr="00D22838">
        <w:rPr>
          <w:rFonts w:ascii="Arial" w:hAnsi="Arial" w:cs="Arial"/>
          <w:sz w:val="22"/>
          <w:szCs w:val="22"/>
        </w:rPr>
        <w:t xml:space="preserve">u je možné předčasně ukončit dohodou smluvních stran nebo odstoupením některé ze smluvních stran výhradně za podmínek dle </w:t>
      </w:r>
      <w:r w:rsidRPr="00D22838">
        <w:rPr>
          <w:rFonts w:ascii="Arial" w:hAnsi="Arial" w:cs="Arial"/>
          <w:sz w:val="22"/>
          <w:szCs w:val="22"/>
        </w:rPr>
        <w:t>Dohody</w:t>
      </w:r>
      <w:r w:rsidR="00E2495A" w:rsidRPr="00D22838">
        <w:rPr>
          <w:rFonts w:ascii="Arial" w:hAnsi="Arial" w:cs="Arial"/>
          <w:sz w:val="22"/>
          <w:szCs w:val="22"/>
        </w:rPr>
        <w:t xml:space="preserve">. Smluvní strana je oprávněna odstoupit od </w:t>
      </w:r>
      <w:r w:rsidRPr="00D22838">
        <w:rPr>
          <w:rFonts w:ascii="Arial" w:hAnsi="Arial" w:cs="Arial"/>
          <w:sz w:val="22"/>
          <w:szCs w:val="22"/>
        </w:rPr>
        <w:t>Dohody</w:t>
      </w:r>
      <w:r w:rsidR="00E2495A" w:rsidRPr="00D22838">
        <w:rPr>
          <w:rFonts w:ascii="Arial" w:hAnsi="Arial" w:cs="Arial"/>
          <w:sz w:val="22"/>
          <w:szCs w:val="22"/>
        </w:rPr>
        <w:t xml:space="preserve"> v případě, že druhá smluvní strana podstatným způsobem poruší</w:t>
      </w:r>
      <w:r w:rsidR="00E2495A" w:rsidRPr="00D22838" w:rsidDel="00260C78">
        <w:rPr>
          <w:rFonts w:ascii="Arial" w:hAnsi="Arial" w:cs="Arial"/>
          <w:sz w:val="22"/>
          <w:szCs w:val="22"/>
        </w:rPr>
        <w:t xml:space="preserve"> </w:t>
      </w:r>
      <w:r w:rsidRPr="00D22838">
        <w:rPr>
          <w:rFonts w:ascii="Arial" w:hAnsi="Arial" w:cs="Arial"/>
          <w:sz w:val="22"/>
          <w:szCs w:val="22"/>
        </w:rPr>
        <w:t>Dohodu</w:t>
      </w:r>
      <w:r w:rsidR="00E2495A" w:rsidRPr="00D22838">
        <w:rPr>
          <w:rFonts w:ascii="Arial" w:hAnsi="Arial" w:cs="Arial"/>
          <w:sz w:val="22"/>
          <w:szCs w:val="22"/>
        </w:rPr>
        <w:t>.</w:t>
      </w:r>
    </w:p>
    <w:p w14:paraId="7DFB2CA2" w14:textId="28A70409" w:rsidR="00E2495A" w:rsidRPr="00D22838" w:rsidRDefault="00E2495A" w:rsidP="000940CF">
      <w:pPr>
        <w:pStyle w:val="Odstavecseseznamem"/>
        <w:widowControl w:val="0"/>
        <w:numPr>
          <w:ilvl w:val="0"/>
          <w:numId w:val="8"/>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Za podstatné porušení </w:t>
      </w:r>
      <w:r w:rsidR="00DC4AC6" w:rsidRPr="00D22838">
        <w:rPr>
          <w:rFonts w:ascii="Arial" w:hAnsi="Arial" w:cs="Arial"/>
          <w:sz w:val="22"/>
          <w:szCs w:val="22"/>
        </w:rPr>
        <w:t>Dohody</w:t>
      </w:r>
      <w:r w:rsidRPr="00D22838">
        <w:rPr>
          <w:rFonts w:ascii="Arial" w:hAnsi="Arial" w:cs="Arial"/>
          <w:sz w:val="22"/>
          <w:szCs w:val="22"/>
        </w:rPr>
        <w:t xml:space="preserve"> </w:t>
      </w:r>
      <w:r w:rsidR="00A93DA6" w:rsidRPr="00D22838">
        <w:rPr>
          <w:rFonts w:ascii="Arial" w:hAnsi="Arial" w:cs="Arial"/>
          <w:sz w:val="22"/>
          <w:szCs w:val="22"/>
        </w:rPr>
        <w:t>D</w:t>
      </w:r>
      <w:r w:rsidRPr="00D22838">
        <w:rPr>
          <w:rFonts w:ascii="Arial" w:hAnsi="Arial" w:cs="Arial"/>
          <w:sz w:val="22"/>
          <w:szCs w:val="22"/>
        </w:rPr>
        <w:t>odavatelem se považuje zejména následující:</w:t>
      </w:r>
    </w:p>
    <w:p w14:paraId="27EC2C6D" w14:textId="09E3A67E" w:rsidR="00E2495A" w:rsidRDefault="00E2495A" w:rsidP="00175816">
      <w:pPr>
        <w:pStyle w:val="Odstavecseseznamem"/>
        <w:widowControl w:val="0"/>
        <w:numPr>
          <w:ilvl w:val="0"/>
          <w:numId w:val="3"/>
        </w:numPr>
        <w:autoSpaceDE w:val="0"/>
        <w:autoSpaceDN w:val="0"/>
        <w:adjustRightInd w:val="0"/>
        <w:spacing w:after="120"/>
        <w:jc w:val="both"/>
        <w:rPr>
          <w:rFonts w:ascii="Arial" w:hAnsi="Arial" w:cs="Arial"/>
          <w:sz w:val="22"/>
          <w:szCs w:val="22"/>
        </w:rPr>
      </w:pPr>
      <w:r w:rsidRPr="00D22838">
        <w:rPr>
          <w:rFonts w:ascii="Arial" w:hAnsi="Arial" w:cs="Arial"/>
          <w:sz w:val="22"/>
          <w:szCs w:val="22"/>
        </w:rPr>
        <w:t xml:space="preserve">v případě, že </w:t>
      </w:r>
      <w:r w:rsidR="00B00CFE" w:rsidRPr="00D22838">
        <w:rPr>
          <w:rFonts w:ascii="Arial" w:hAnsi="Arial" w:cs="Arial"/>
          <w:sz w:val="22"/>
          <w:szCs w:val="22"/>
        </w:rPr>
        <w:t xml:space="preserve">služby </w:t>
      </w:r>
      <w:r w:rsidRPr="00D22838">
        <w:rPr>
          <w:rFonts w:ascii="Arial" w:hAnsi="Arial" w:cs="Arial"/>
          <w:sz w:val="22"/>
          <w:szCs w:val="22"/>
        </w:rPr>
        <w:t>nebud</w:t>
      </w:r>
      <w:r w:rsidR="00B00CFE" w:rsidRPr="00D22838">
        <w:rPr>
          <w:rFonts w:ascii="Arial" w:hAnsi="Arial" w:cs="Arial"/>
          <w:sz w:val="22"/>
          <w:szCs w:val="22"/>
        </w:rPr>
        <w:t>ou</w:t>
      </w:r>
      <w:r w:rsidRPr="00D22838">
        <w:rPr>
          <w:rFonts w:ascii="Arial" w:hAnsi="Arial" w:cs="Arial"/>
          <w:sz w:val="22"/>
          <w:szCs w:val="22"/>
        </w:rPr>
        <w:t xml:space="preserve"> plněn</w:t>
      </w:r>
      <w:r w:rsidR="00B00CFE" w:rsidRPr="00D22838">
        <w:rPr>
          <w:rFonts w:ascii="Arial" w:hAnsi="Arial" w:cs="Arial"/>
          <w:sz w:val="22"/>
          <w:szCs w:val="22"/>
        </w:rPr>
        <w:t>y</w:t>
      </w:r>
      <w:r w:rsidRPr="00D22838">
        <w:rPr>
          <w:rFonts w:ascii="Arial" w:hAnsi="Arial" w:cs="Arial"/>
          <w:sz w:val="22"/>
          <w:szCs w:val="22"/>
        </w:rPr>
        <w:t xml:space="preserve"> </w:t>
      </w:r>
      <w:r w:rsidR="00A20A81">
        <w:rPr>
          <w:rFonts w:ascii="Arial" w:hAnsi="Arial" w:cs="Arial"/>
          <w:sz w:val="22"/>
          <w:szCs w:val="22"/>
        </w:rPr>
        <w:t xml:space="preserve">v rozsahu a v souladu s požadavky </w:t>
      </w:r>
      <w:r w:rsidRPr="00D22838">
        <w:rPr>
          <w:rFonts w:ascii="Arial" w:hAnsi="Arial" w:cs="Arial"/>
          <w:sz w:val="22"/>
          <w:szCs w:val="22"/>
        </w:rPr>
        <w:t xml:space="preserve">dle </w:t>
      </w:r>
      <w:r w:rsidR="00A20A81">
        <w:rPr>
          <w:rFonts w:ascii="Arial" w:hAnsi="Arial" w:cs="Arial"/>
          <w:sz w:val="22"/>
          <w:szCs w:val="22"/>
        </w:rPr>
        <w:t>čl. I Dohody a Přílohy č. 1 Dohody</w:t>
      </w:r>
      <w:r w:rsidR="00175816">
        <w:rPr>
          <w:rFonts w:ascii="Arial" w:hAnsi="Arial" w:cs="Arial"/>
          <w:sz w:val="22"/>
          <w:szCs w:val="22"/>
        </w:rPr>
        <w:t xml:space="preserve"> </w:t>
      </w:r>
      <w:r w:rsidR="00175816" w:rsidRPr="00175816">
        <w:rPr>
          <w:rFonts w:ascii="Arial" w:hAnsi="Arial" w:cs="Arial"/>
          <w:sz w:val="22"/>
          <w:szCs w:val="22"/>
        </w:rPr>
        <w:t xml:space="preserve">ani po dalších 2 týdnech </w:t>
      </w:r>
      <w:r w:rsidR="00175816">
        <w:rPr>
          <w:rFonts w:ascii="Arial" w:hAnsi="Arial" w:cs="Arial"/>
          <w:sz w:val="22"/>
          <w:szCs w:val="22"/>
        </w:rPr>
        <w:t>od prokazatelného doručení</w:t>
      </w:r>
      <w:r w:rsidR="00175816" w:rsidRPr="00175816">
        <w:rPr>
          <w:rFonts w:ascii="Arial" w:hAnsi="Arial" w:cs="Arial"/>
          <w:sz w:val="22"/>
          <w:szCs w:val="22"/>
        </w:rPr>
        <w:t xml:space="preserve"> </w:t>
      </w:r>
      <w:r w:rsidR="00175816">
        <w:rPr>
          <w:rFonts w:ascii="Arial" w:hAnsi="Arial" w:cs="Arial"/>
          <w:sz w:val="22"/>
          <w:szCs w:val="22"/>
        </w:rPr>
        <w:t>písemné výzvy</w:t>
      </w:r>
      <w:r w:rsidR="00175816" w:rsidRPr="00175816">
        <w:rPr>
          <w:rFonts w:ascii="Arial" w:hAnsi="Arial" w:cs="Arial"/>
          <w:sz w:val="22"/>
          <w:szCs w:val="22"/>
        </w:rPr>
        <w:t xml:space="preserve"> Objednatele</w:t>
      </w:r>
      <w:r w:rsidR="00175816">
        <w:rPr>
          <w:rFonts w:ascii="Arial" w:hAnsi="Arial" w:cs="Arial"/>
          <w:sz w:val="22"/>
          <w:szCs w:val="22"/>
        </w:rPr>
        <w:t xml:space="preserve"> Dodavateli</w:t>
      </w:r>
      <w:r w:rsidR="00741932" w:rsidRPr="00D22838">
        <w:rPr>
          <w:rFonts w:ascii="Arial" w:hAnsi="Arial" w:cs="Arial"/>
          <w:sz w:val="22"/>
          <w:szCs w:val="22"/>
        </w:rPr>
        <w:t>,</w:t>
      </w:r>
    </w:p>
    <w:p w14:paraId="7D76D7B5" w14:textId="4EDF4C74" w:rsidR="001403C3" w:rsidRPr="004526A6" w:rsidRDefault="00F15329" w:rsidP="001403C3">
      <w:pPr>
        <w:pStyle w:val="Odstavecseseznamem"/>
        <w:widowControl w:val="0"/>
        <w:numPr>
          <w:ilvl w:val="0"/>
          <w:numId w:val="3"/>
        </w:numPr>
        <w:autoSpaceDE w:val="0"/>
        <w:autoSpaceDN w:val="0"/>
        <w:adjustRightInd w:val="0"/>
        <w:spacing w:before="240" w:after="120"/>
        <w:contextualSpacing w:val="0"/>
        <w:jc w:val="both"/>
        <w:rPr>
          <w:rFonts w:ascii="Arial" w:hAnsi="Arial" w:cs="Arial"/>
          <w:sz w:val="22"/>
          <w:szCs w:val="22"/>
        </w:rPr>
      </w:pPr>
      <w:r>
        <w:rPr>
          <w:rFonts w:ascii="Arial" w:hAnsi="Arial" w:cs="Arial"/>
          <w:sz w:val="22"/>
          <w:szCs w:val="22"/>
        </w:rPr>
        <w:t>v</w:t>
      </w:r>
      <w:r w:rsidR="001403C3" w:rsidRPr="004526A6">
        <w:rPr>
          <w:rFonts w:ascii="Arial" w:hAnsi="Arial" w:cs="Arial"/>
          <w:sz w:val="22"/>
          <w:szCs w:val="22"/>
        </w:rPr>
        <w:t> případě, že Dodavatel nebude mít po celou dobu trvání Dohody sjednáno platné pojištění odpovědnosti za škodu způsobenou třetí osobě při výkonu podnikatelských činností, které jsou předmětem plněni této Dohody, a to s pojistným plněním vyplývajícím z takového pojištění minimálně v hodnotě 20 mil. Kč</w:t>
      </w:r>
      <w:r w:rsidR="00067DF9" w:rsidRPr="004526A6">
        <w:rPr>
          <w:rFonts w:ascii="Arial" w:hAnsi="Arial" w:cs="Arial"/>
          <w:sz w:val="22"/>
          <w:szCs w:val="22"/>
        </w:rPr>
        <w:t>.</w:t>
      </w:r>
      <w:r w:rsidR="001403C3" w:rsidRPr="004526A6">
        <w:rPr>
          <w:rFonts w:ascii="Arial" w:hAnsi="Arial" w:cs="Arial"/>
          <w:sz w:val="22"/>
          <w:szCs w:val="22"/>
        </w:rPr>
        <w:t xml:space="preserve"> </w:t>
      </w:r>
    </w:p>
    <w:p w14:paraId="523A7DC1" w14:textId="74CBC154" w:rsidR="00E2495A" w:rsidRPr="00D22838" w:rsidRDefault="00E2495A" w:rsidP="000940CF">
      <w:pPr>
        <w:pStyle w:val="Odstavecseseznamem"/>
        <w:widowControl w:val="0"/>
        <w:numPr>
          <w:ilvl w:val="0"/>
          <w:numId w:val="8"/>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Za podstatné porušení </w:t>
      </w:r>
      <w:r w:rsidR="00483EB9" w:rsidRPr="00D22838">
        <w:rPr>
          <w:rFonts w:ascii="Arial" w:hAnsi="Arial" w:cs="Arial"/>
          <w:sz w:val="22"/>
          <w:szCs w:val="22"/>
        </w:rPr>
        <w:t>D</w:t>
      </w:r>
      <w:r w:rsidR="00DC4AC6" w:rsidRPr="00D22838">
        <w:rPr>
          <w:rFonts w:ascii="Arial" w:hAnsi="Arial" w:cs="Arial"/>
          <w:sz w:val="22"/>
          <w:szCs w:val="22"/>
        </w:rPr>
        <w:t>ohod</w:t>
      </w:r>
      <w:r w:rsidRPr="00D22838">
        <w:rPr>
          <w:rFonts w:ascii="Arial" w:hAnsi="Arial" w:cs="Arial"/>
          <w:sz w:val="22"/>
          <w:szCs w:val="22"/>
        </w:rPr>
        <w:t xml:space="preserve">y </w:t>
      </w:r>
      <w:r w:rsidR="00A93DA6" w:rsidRPr="00D22838">
        <w:rPr>
          <w:rFonts w:ascii="Arial" w:hAnsi="Arial" w:cs="Arial"/>
          <w:sz w:val="22"/>
          <w:szCs w:val="22"/>
        </w:rPr>
        <w:t>O</w:t>
      </w:r>
      <w:r w:rsidR="00FC4BDB" w:rsidRPr="00D22838">
        <w:rPr>
          <w:rFonts w:ascii="Arial" w:hAnsi="Arial" w:cs="Arial"/>
          <w:sz w:val="22"/>
          <w:szCs w:val="22"/>
        </w:rPr>
        <w:t>bjednatel</w:t>
      </w:r>
      <w:r w:rsidRPr="00D22838">
        <w:rPr>
          <w:rFonts w:ascii="Arial" w:hAnsi="Arial" w:cs="Arial"/>
          <w:sz w:val="22"/>
          <w:szCs w:val="22"/>
        </w:rPr>
        <w:t xml:space="preserve">em se považuje výhradně jeho prodlení s úhradou platby dle řádně vystavené faktury o více než 30 dnů a/nebo prodlení </w:t>
      </w:r>
      <w:r w:rsidR="00A93DA6" w:rsidRPr="00D22838">
        <w:rPr>
          <w:rFonts w:ascii="Arial" w:hAnsi="Arial" w:cs="Arial"/>
          <w:sz w:val="22"/>
          <w:szCs w:val="22"/>
        </w:rPr>
        <w:t>O</w:t>
      </w:r>
      <w:r w:rsidR="00FC4BDB" w:rsidRPr="00D22838">
        <w:rPr>
          <w:rFonts w:ascii="Arial" w:hAnsi="Arial" w:cs="Arial"/>
          <w:sz w:val="22"/>
          <w:szCs w:val="22"/>
        </w:rPr>
        <w:t>bjednatel</w:t>
      </w:r>
      <w:r w:rsidRPr="00D22838">
        <w:rPr>
          <w:rFonts w:ascii="Arial" w:hAnsi="Arial" w:cs="Arial"/>
          <w:sz w:val="22"/>
          <w:szCs w:val="22"/>
        </w:rPr>
        <w:t xml:space="preserve">e s poskytnutím součinnosti o více jak 30 dnů ode dne doručení druhé opakované písemné výzvy </w:t>
      </w:r>
      <w:r w:rsidR="00A93DA6" w:rsidRPr="00D22838">
        <w:rPr>
          <w:rFonts w:ascii="Arial" w:hAnsi="Arial" w:cs="Arial"/>
          <w:sz w:val="22"/>
          <w:szCs w:val="22"/>
        </w:rPr>
        <w:t>D</w:t>
      </w:r>
      <w:r w:rsidRPr="00D22838">
        <w:rPr>
          <w:rFonts w:ascii="Arial" w:hAnsi="Arial" w:cs="Arial"/>
          <w:sz w:val="22"/>
          <w:szCs w:val="22"/>
        </w:rPr>
        <w:t>odavatele, ve které byla znovu podrobně specifikována požadovaná nezbytná součinnost.</w:t>
      </w:r>
    </w:p>
    <w:p w14:paraId="28F74788" w14:textId="0E0BD214" w:rsidR="00E2495A" w:rsidRPr="00D22838" w:rsidRDefault="00E2495A" w:rsidP="000940CF">
      <w:pPr>
        <w:pStyle w:val="Odstavecseseznamem"/>
        <w:widowControl w:val="0"/>
        <w:numPr>
          <w:ilvl w:val="0"/>
          <w:numId w:val="8"/>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V případě jiného než podstatného porušení smluvních povinností podle </w:t>
      </w:r>
      <w:r w:rsidR="00DC4AC6" w:rsidRPr="00D22838">
        <w:rPr>
          <w:rFonts w:ascii="Arial" w:hAnsi="Arial" w:cs="Arial"/>
          <w:sz w:val="22"/>
          <w:szCs w:val="22"/>
        </w:rPr>
        <w:t>Dohod</w:t>
      </w:r>
      <w:r w:rsidRPr="00D22838">
        <w:rPr>
          <w:rFonts w:ascii="Arial" w:hAnsi="Arial" w:cs="Arial"/>
          <w:sz w:val="22"/>
          <w:szCs w:val="22"/>
        </w:rPr>
        <w:t xml:space="preserve">y ze strany </w:t>
      </w:r>
      <w:r w:rsidR="00A93DA6" w:rsidRPr="00D22838">
        <w:rPr>
          <w:rFonts w:ascii="Arial" w:hAnsi="Arial" w:cs="Arial"/>
          <w:sz w:val="22"/>
          <w:szCs w:val="22"/>
        </w:rPr>
        <w:t>D</w:t>
      </w:r>
      <w:r w:rsidRPr="00D22838">
        <w:rPr>
          <w:rFonts w:ascii="Arial" w:hAnsi="Arial" w:cs="Arial"/>
          <w:sz w:val="22"/>
          <w:szCs w:val="22"/>
        </w:rPr>
        <w:t xml:space="preserve">odavatele se </w:t>
      </w:r>
      <w:r w:rsidR="00A93DA6" w:rsidRPr="00D22838">
        <w:rPr>
          <w:rFonts w:ascii="Arial" w:hAnsi="Arial" w:cs="Arial"/>
          <w:sz w:val="22"/>
          <w:szCs w:val="22"/>
        </w:rPr>
        <w:t>O</w:t>
      </w:r>
      <w:r w:rsidR="00FC4BDB" w:rsidRPr="00D22838">
        <w:rPr>
          <w:rFonts w:ascii="Arial" w:hAnsi="Arial" w:cs="Arial"/>
          <w:sz w:val="22"/>
          <w:szCs w:val="22"/>
        </w:rPr>
        <w:t>bjednatel</w:t>
      </w:r>
      <w:r w:rsidRPr="00D22838">
        <w:rPr>
          <w:rFonts w:ascii="Arial" w:hAnsi="Arial" w:cs="Arial"/>
          <w:sz w:val="22"/>
          <w:szCs w:val="22"/>
        </w:rPr>
        <w:t xml:space="preserve"> zavazuje poskytnout </w:t>
      </w:r>
      <w:r w:rsidR="00A93DA6" w:rsidRPr="00D22838">
        <w:rPr>
          <w:rFonts w:ascii="Arial" w:hAnsi="Arial" w:cs="Arial"/>
          <w:sz w:val="22"/>
          <w:szCs w:val="22"/>
        </w:rPr>
        <w:t>D</w:t>
      </w:r>
      <w:r w:rsidRPr="00D22838">
        <w:rPr>
          <w:rFonts w:ascii="Arial" w:hAnsi="Arial" w:cs="Arial"/>
          <w:sz w:val="22"/>
          <w:szCs w:val="22"/>
        </w:rPr>
        <w:t xml:space="preserve">odavateli dodatečnou lhůtu </w:t>
      </w:r>
      <w:r w:rsidR="00A93DA6" w:rsidRPr="00D22838">
        <w:rPr>
          <w:rFonts w:ascii="Arial" w:hAnsi="Arial" w:cs="Arial"/>
          <w:sz w:val="22"/>
          <w:szCs w:val="22"/>
        </w:rPr>
        <w:t>7</w:t>
      </w:r>
      <w:r w:rsidRPr="00D22838">
        <w:rPr>
          <w:rFonts w:ascii="Arial" w:hAnsi="Arial" w:cs="Arial"/>
          <w:sz w:val="22"/>
          <w:szCs w:val="22"/>
        </w:rPr>
        <w:t xml:space="preserve"> dn</w:t>
      </w:r>
      <w:r w:rsidR="00A93DA6" w:rsidRPr="00D22838">
        <w:rPr>
          <w:rFonts w:ascii="Arial" w:hAnsi="Arial" w:cs="Arial"/>
          <w:sz w:val="22"/>
          <w:szCs w:val="22"/>
        </w:rPr>
        <w:t>ů</w:t>
      </w:r>
      <w:r w:rsidRPr="00D22838">
        <w:rPr>
          <w:rFonts w:ascii="Arial" w:hAnsi="Arial" w:cs="Arial"/>
          <w:sz w:val="22"/>
          <w:szCs w:val="22"/>
        </w:rPr>
        <w:t xml:space="preserve"> ke splnění jeho povinnosti. V případě nesplnění smluvních povinností </w:t>
      </w:r>
      <w:r w:rsidR="00A93DA6" w:rsidRPr="00D22838">
        <w:rPr>
          <w:rFonts w:ascii="Arial" w:hAnsi="Arial" w:cs="Arial"/>
          <w:sz w:val="22"/>
          <w:szCs w:val="22"/>
        </w:rPr>
        <w:t>D</w:t>
      </w:r>
      <w:r w:rsidRPr="00D22838">
        <w:rPr>
          <w:rFonts w:ascii="Arial" w:hAnsi="Arial" w:cs="Arial"/>
          <w:sz w:val="22"/>
          <w:szCs w:val="22"/>
        </w:rPr>
        <w:t xml:space="preserve">odavatelem ani v takto dodatečně určené lhůtě se původně jiné než podstatné porušení smluvních povinností </w:t>
      </w:r>
      <w:r w:rsidR="00A93DA6" w:rsidRPr="00D22838">
        <w:rPr>
          <w:rFonts w:ascii="Arial" w:hAnsi="Arial" w:cs="Arial"/>
          <w:sz w:val="22"/>
          <w:szCs w:val="22"/>
        </w:rPr>
        <w:t>D</w:t>
      </w:r>
      <w:r w:rsidRPr="00D22838">
        <w:rPr>
          <w:rFonts w:ascii="Arial" w:hAnsi="Arial" w:cs="Arial"/>
          <w:sz w:val="22"/>
          <w:szCs w:val="22"/>
        </w:rPr>
        <w:t xml:space="preserve">odavatele dle </w:t>
      </w:r>
      <w:r w:rsidR="00DC4AC6" w:rsidRPr="00D22838">
        <w:rPr>
          <w:rFonts w:ascii="Arial" w:hAnsi="Arial" w:cs="Arial"/>
          <w:sz w:val="22"/>
          <w:szCs w:val="22"/>
        </w:rPr>
        <w:t>Dohod</w:t>
      </w:r>
      <w:r w:rsidRPr="00D22838">
        <w:rPr>
          <w:rFonts w:ascii="Arial" w:hAnsi="Arial" w:cs="Arial"/>
          <w:sz w:val="22"/>
          <w:szCs w:val="22"/>
        </w:rPr>
        <w:t xml:space="preserve">y považuje za podstatné porušení </w:t>
      </w:r>
      <w:r w:rsidR="00DC4AC6" w:rsidRPr="00D22838">
        <w:rPr>
          <w:rFonts w:ascii="Arial" w:hAnsi="Arial" w:cs="Arial"/>
          <w:sz w:val="22"/>
          <w:szCs w:val="22"/>
        </w:rPr>
        <w:t>Dohod</w:t>
      </w:r>
      <w:r w:rsidRPr="00D22838">
        <w:rPr>
          <w:rFonts w:ascii="Arial" w:hAnsi="Arial" w:cs="Arial"/>
          <w:sz w:val="22"/>
          <w:szCs w:val="22"/>
        </w:rPr>
        <w:t xml:space="preserve">y. Objednatel je dále oprávněn odstoupit od </w:t>
      </w:r>
      <w:r w:rsidR="00DC4AC6" w:rsidRPr="00D22838">
        <w:rPr>
          <w:rFonts w:ascii="Arial" w:hAnsi="Arial" w:cs="Arial"/>
          <w:sz w:val="22"/>
          <w:szCs w:val="22"/>
        </w:rPr>
        <w:t>Dohod</w:t>
      </w:r>
      <w:r w:rsidRPr="00D22838">
        <w:rPr>
          <w:rFonts w:ascii="Arial" w:hAnsi="Arial" w:cs="Arial"/>
          <w:sz w:val="22"/>
          <w:szCs w:val="22"/>
        </w:rPr>
        <w:t xml:space="preserve">y v případě, že vůči </w:t>
      </w:r>
      <w:r w:rsidR="00A93DA6" w:rsidRPr="00D22838">
        <w:rPr>
          <w:rFonts w:ascii="Arial" w:hAnsi="Arial" w:cs="Arial"/>
          <w:sz w:val="22"/>
          <w:szCs w:val="22"/>
        </w:rPr>
        <w:t>D</w:t>
      </w:r>
      <w:r w:rsidRPr="00D22838">
        <w:rPr>
          <w:rFonts w:ascii="Arial" w:hAnsi="Arial" w:cs="Arial"/>
          <w:sz w:val="22"/>
          <w:szCs w:val="22"/>
        </w:rPr>
        <w:t xml:space="preserve">odavateli je zahájeno insolvenční řízení, </w:t>
      </w:r>
      <w:r w:rsidR="00A93DA6" w:rsidRPr="00D22838">
        <w:rPr>
          <w:rFonts w:ascii="Arial" w:hAnsi="Arial" w:cs="Arial"/>
          <w:sz w:val="22"/>
          <w:szCs w:val="22"/>
        </w:rPr>
        <w:t>D</w:t>
      </w:r>
      <w:r w:rsidRPr="00D22838">
        <w:rPr>
          <w:rFonts w:ascii="Arial" w:hAnsi="Arial" w:cs="Arial"/>
          <w:sz w:val="22"/>
          <w:szCs w:val="22"/>
        </w:rPr>
        <w:t xml:space="preserve">odavatel je v úpadku, na jeho majetek je prohlášen konkurs nebo pokud </w:t>
      </w:r>
      <w:r w:rsidR="00A93DA6" w:rsidRPr="00D22838">
        <w:rPr>
          <w:rFonts w:ascii="Arial" w:hAnsi="Arial" w:cs="Arial"/>
          <w:sz w:val="22"/>
          <w:szCs w:val="22"/>
        </w:rPr>
        <w:t>D</w:t>
      </w:r>
      <w:r w:rsidRPr="00D22838">
        <w:rPr>
          <w:rFonts w:ascii="Arial" w:hAnsi="Arial" w:cs="Arial"/>
          <w:sz w:val="22"/>
          <w:szCs w:val="22"/>
        </w:rPr>
        <w:t xml:space="preserve">odavatel vstoupí do likvidace. Odstoupení od </w:t>
      </w:r>
      <w:r w:rsidR="00DC4AC6" w:rsidRPr="00D22838">
        <w:rPr>
          <w:rFonts w:ascii="Arial" w:hAnsi="Arial" w:cs="Arial"/>
          <w:sz w:val="22"/>
          <w:szCs w:val="22"/>
        </w:rPr>
        <w:t>Dohod</w:t>
      </w:r>
      <w:r w:rsidRPr="00D22838">
        <w:rPr>
          <w:rFonts w:ascii="Arial" w:hAnsi="Arial" w:cs="Arial"/>
          <w:sz w:val="22"/>
          <w:szCs w:val="22"/>
        </w:rPr>
        <w:t xml:space="preserve">y musí být učiněno písemně. Odstoupení je účinné ode dne, kdy bude doručeno druhé smluvní straně. V pochybnostech se má za to, že odstoupení bylo doručeno 5. dnem od jeho odeslání v poštovní zásilce s doručenkou na adresu dané smluvní strany uvedenou v záhlaví </w:t>
      </w:r>
      <w:r w:rsidR="00DC4AC6" w:rsidRPr="00D22838">
        <w:rPr>
          <w:rFonts w:ascii="Arial" w:hAnsi="Arial" w:cs="Arial"/>
          <w:sz w:val="22"/>
          <w:szCs w:val="22"/>
        </w:rPr>
        <w:t>Dohod</w:t>
      </w:r>
      <w:r w:rsidRPr="00D22838">
        <w:rPr>
          <w:rFonts w:ascii="Arial" w:hAnsi="Arial" w:cs="Arial"/>
          <w:sz w:val="22"/>
          <w:szCs w:val="22"/>
        </w:rPr>
        <w:t xml:space="preserve">y nebo později písemně oznámenou druhé smluvní straně. Odstoupením od </w:t>
      </w:r>
      <w:r w:rsidR="00DC4AC6" w:rsidRPr="00D22838">
        <w:rPr>
          <w:rFonts w:ascii="Arial" w:hAnsi="Arial" w:cs="Arial"/>
          <w:sz w:val="22"/>
          <w:szCs w:val="22"/>
        </w:rPr>
        <w:t>Dohod</w:t>
      </w:r>
      <w:r w:rsidRPr="00D22838">
        <w:rPr>
          <w:rFonts w:ascii="Arial" w:hAnsi="Arial" w:cs="Arial"/>
          <w:sz w:val="22"/>
          <w:szCs w:val="22"/>
        </w:rPr>
        <w:t>y nezanikají povinnosti smluvních stran k náhradě újmy a k úhradě smluvních pokut za závazky, které byly porušeny některou ze smluvních stran před doručením oznámení o odstoupení</w:t>
      </w:r>
      <w:r w:rsidR="00A56ED6" w:rsidRPr="00D22838">
        <w:rPr>
          <w:rFonts w:ascii="Arial" w:hAnsi="Arial" w:cs="Arial"/>
          <w:sz w:val="22"/>
          <w:szCs w:val="22"/>
        </w:rPr>
        <w:t>,</w:t>
      </w:r>
      <w:r w:rsidRPr="00D22838">
        <w:rPr>
          <w:rFonts w:ascii="Arial" w:hAnsi="Arial" w:cs="Arial"/>
          <w:sz w:val="22"/>
          <w:szCs w:val="22"/>
        </w:rPr>
        <w:t xml:space="preserve"> a dále ty závazky, které mají vzhledem ke své povaze trvat i po skončení </w:t>
      </w:r>
      <w:r w:rsidR="00DC4AC6" w:rsidRPr="00D22838">
        <w:rPr>
          <w:rFonts w:ascii="Arial" w:hAnsi="Arial" w:cs="Arial"/>
          <w:sz w:val="22"/>
          <w:szCs w:val="22"/>
        </w:rPr>
        <w:t>Dohod</w:t>
      </w:r>
      <w:r w:rsidRPr="00D22838">
        <w:rPr>
          <w:rFonts w:ascii="Arial" w:hAnsi="Arial" w:cs="Arial"/>
          <w:sz w:val="22"/>
          <w:szCs w:val="22"/>
        </w:rPr>
        <w:t>y, zejm</w:t>
      </w:r>
      <w:r w:rsidR="00A56ED6" w:rsidRPr="00D22838">
        <w:rPr>
          <w:rFonts w:ascii="Arial" w:hAnsi="Arial" w:cs="Arial"/>
          <w:sz w:val="22"/>
          <w:szCs w:val="22"/>
        </w:rPr>
        <w:t>éna</w:t>
      </w:r>
      <w:r w:rsidRPr="00D22838">
        <w:rPr>
          <w:rFonts w:ascii="Arial" w:hAnsi="Arial" w:cs="Arial"/>
          <w:sz w:val="22"/>
          <w:szCs w:val="22"/>
        </w:rPr>
        <w:t xml:space="preserve"> povinnost mlčenlivosti a ochrany osobních údajů.</w:t>
      </w:r>
    </w:p>
    <w:p w14:paraId="56FA796F" w14:textId="60B6B3E0" w:rsidR="00907514" w:rsidRPr="00D22838" w:rsidRDefault="00907514" w:rsidP="00266804">
      <w:pPr>
        <w:widowControl w:val="0"/>
        <w:autoSpaceDE w:val="0"/>
        <w:autoSpaceDN w:val="0"/>
        <w:adjustRightInd w:val="0"/>
        <w:spacing w:before="240"/>
        <w:jc w:val="center"/>
        <w:rPr>
          <w:rFonts w:ascii="Arial" w:hAnsi="Arial" w:cs="Arial"/>
          <w:b/>
          <w:sz w:val="22"/>
          <w:szCs w:val="22"/>
        </w:rPr>
      </w:pPr>
      <w:r w:rsidRPr="00D22838">
        <w:rPr>
          <w:rFonts w:ascii="Arial" w:hAnsi="Arial" w:cs="Arial"/>
          <w:b/>
          <w:sz w:val="22"/>
          <w:szCs w:val="22"/>
        </w:rPr>
        <w:t>V.</w:t>
      </w:r>
    </w:p>
    <w:p w14:paraId="621187A4" w14:textId="0C0D37A9" w:rsidR="00907514" w:rsidRPr="00D22838" w:rsidRDefault="00507C14" w:rsidP="001E4C33">
      <w:pPr>
        <w:widowControl w:val="0"/>
        <w:autoSpaceDE w:val="0"/>
        <w:autoSpaceDN w:val="0"/>
        <w:adjustRightInd w:val="0"/>
        <w:spacing w:after="120" w:line="240" w:lineRule="atLeast"/>
        <w:jc w:val="center"/>
        <w:rPr>
          <w:rFonts w:ascii="Arial" w:hAnsi="Arial" w:cs="Arial"/>
          <w:sz w:val="22"/>
          <w:szCs w:val="22"/>
        </w:rPr>
      </w:pPr>
      <w:r>
        <w:rPr>
          <w:rFonts w:ascii="Arial" w:hAnsi="Arial" w:cs="Arial"/>
          <w:b/>
          <w:sz w:val="22"/>
          <w:szCs w:val="22"/>
          <w:u w:val="single"/>
        </w:rPr>
        <w:t>Další práva a povinnosti s</w:t>
      </w:r>
      <w:r w:rsidR="004B5F56" w:rsidRPr="00D22838">
        <w:rPr>
          <w:rFonts w:ascii="Arial" w:hAnsi="Arial" w:cs="Arial"/>
          <w:b/>
          <w:sz w:val="22"/>
          <w:szCs w:val="22"/>
          <w:u w:val="single"/>
        </w:rPr>
        <w:t>mluvních stran</w:t>
      </w:r>
    </w:p>
    <w:p w14:paraId="30EC800D" w14:textId="0819C29F" w:rsidR="004B5F56" w:rsidRPr="00D22838" w:rsidRDefault="004B5F56" w:rsidP="000940CF">
      <w:pPr>
        <w:pStyle w:val="Odstavecseseznamem"/>
        <w:widowControl w:val="0"/>
        <w:numPr>
          <w:ilvl w:val="0"/>
          <w:numId w:val="9"/>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Komunikace mezi smluvními stranami je činěna písemně, není-li </w:t>
      </w:r>
      <w:r w:rsidR="00DC4AC6" w:rsidRPr="00D22838">
        <w:rPr>
          <w:rFonts w:ascii="Arial" w:hAnsi="Arial" w:cs="Arial"/>
          <w:sz w:val="22"/>
          <w:szCs w:val="22"/>
        </w:rPr>
        <w:t>Dohod</w:t>
      </w:r>
      <w:r w:rsidRPr="00D22838">
        <w:rPr>
          <w:rFonts w:ascii="Arial" w:hAnsi="Arial" w:cs="Arial"/>
          <w:sz w:val="22"/>
          <w:szCs w:val="22"/>
        </w:rPr>
        <w:t>ou stanoveno jinak. Písemná komunikace se činí v listinné podobě doručované prostřednictvím provozovatele poštovních služeb nebo osobně na adresu</w:t>
      </w:r>
      <w:r w:rsidR="00483EB9" w:rsidRPr="00D22838">
        <w:rPr>
          <w:rFonts w:ascii="Arial" w:hAnsi="Arial" w:cs="Arial"/>
          <w:sz w:val="22"/>
          <w:szCs w:val="22"/>
        </w:rPr>
        <w:t xml:space="preserve"> smluvní strany uvedenou v</w:t>
      </w:r>
      <w:r w:rsidR="00EA5418" w:rsidRPr="00D22838">
        <w:rPr>
          <w:rFonts w:ascii="Arial" w:hAnsi="Arial" w:cs="Arial"/>
          <w:sz w:val="22"/>
          <w:szCs w:val="22"/>
        </w:rPr>
        <w:t xml:space="preserve"> Dohod</w:t>
      </w:r>
      <w:r w:rsidRPr="00D22838">
        <w:rPr>
          <w:rFonts w:ascii="Arial" w:hAnsi="Arial" w:cs="Arial"/>
          <w:sz w:val="22"/>
          <w:szCs w:val="22"/>
        </w:rPr>
        <w:t xml:space="preserve">ě. Smluvní strany výslovně vylučují ustanovení § 573 </w:t>
      </w:r>
      <w:r w:rsidR="00483EB9" w:rsidRPr="00D22838">
        <w:rPr>
          <w:rFonts w:ascii="Arial" w:hAnsi="Arial" w:cs="Arial"/>
          <w:sz w:val="22"/>
          <w:szCs w:val="22"/>
        </w:rPr>
        <w:t>OZ</w:t>
      </w:r>
      <w:r w:rsidRPr="00D22838">
        <w:rPr>
          <w:rFonts w:ascii="Arial" w:hAnsi="Arial" w:cs="Arial"/>
          <w:sz w:val="22"/>
          <w:szCs w:val="22"/>
        </w:rPr>
        <w:t xml:space="preserve">.  Dodavatel se zavazuje, že v případě změny své adresy bude o této změně </w:t>
      </w:r>
      <w:r w:rsidR="007D072B" w:rsidRPr="00D22838">
        <w:rPr>
          <w:rFonts w:ascii="Arial" w:hAnsi="Arial" w:cs="Arial"/>
          <w:sz w:val="22"/>
          <w:szCs w:val="22"/>
        </w:rPr>
        <w:t>O</w:t>
      </w:r>
      <w:r w:rsidRPr="00D22838">
        <w:rPr>
          <w:rFonts w:ascii="Arial" w:hAnsi="Arial" w:cs="Arial"/>
          <w:sz w:val="22"/>
          <w:szCs w:val="22"/>
        </w:rPr>
        <w:t xml:space="preserve">bjednatele písemně informovat nejpozději do </w:t>
      </w:r>
      <w:r w:rsidR="001E4C33" w:rsidRPr="00D22838">
        <w:rPr>
          <w:rFonts w:ascii="Arial" w:hAnsi="Arial" w:cs="Arial"/>
          <w:sz w:val="22"/>
          <w:szCs w:val="22"/>
        </w:rPr>
        <w:t>3 pracovních dnů ode dne změny.</w:t>
      </w:r>
    </w:p>
    <w:p w14:paraId="6D3D42F6" w14:textId="0BE9E847" w:rsidR="00507C14" w:rsidRPr="00507C14" w:rsidRDefault="004B5F56" w:rsidP="00507C14">
      <w:pPr>
        <w:pStyle w:val="Odstavecseseznamem"/>
        <w:keepNext/>
        <w:keepLines/>
        <w:widowControl w:val="0"/>
        <w:numPr>
          <w:ilvl w:val="0"/>
          <w:numId w:val="9"/>
        </w:numPr>
        <w:autoSpaceDE w:val="0"/>
        <w:autoSpaceDN w:val="0"/>
        <w:adjustRightInd w:val="0"/>
        <w:spacing w:after="120"/>
        <w:ind w:left="351" w:hanging="357"/>
        <w:contextualSpacing w:val="0"/>
        <w:jc w:val="both"/>
        <w:rPr>
          <w:rFonts w:ascii="Arial" w:hAnsi="Arial" w:cs="Arial"/>
          <w:sz w:val="22"/>
          <w:szCs w:val="22"/>
        </w:rPr>
      </w:pPr>
      <w:r w:rsidRPr="00D22838">
        <w:rPr>
          <w:rFonts w:ascii="Arial" w:hAnsi="Arial" w:cs="Arial"/>
          <w:sz w:val="22"/>
          <w:szCs w:val="22"/>
        </w:rPr>
        <w:lastRenderedPageBreak/>
        <w:t xml:space="preserve">Běžná pracovní komunikace mezi smluvními stranami a vytýkání vad může být činěno ve formě prosté emailové zprávy bez nutnosti jejího zaručeného elektronického podpisu zaslané osobou oprávněnou jednat </w:t>
      </w:r>
      <w:r w:rsidR="007D072B" w:rsidRPr="00D22838">
        <w:rPr>
          <w:rFonts w:ascii="Arial" w:hAnsi="Arial" w:cs="Arial"/>
          <w:sz w:val="22"/>
          <w:szCs w:val="22"/>
        </w:rPr>
        <w:t xml:space="preserve">za </w:t>
      </w:r>
      <w:r w:rsidRPr="00D22838">
        <w:rPr>
          <w:rFonts w:ascii="Arial" w:hAnsi="Arial" w:cs="Arial"/>
          <w:sz w:val="22"/>
          <w:szCs w:val="22"/>
        </w:rPr>
        <w:t xml:space="preserve">smluvní stranu na kontaktní emailové adresy uvedené v </w:t>
      </w:r>
      <w:r w:rsidR="00EA5418" w:rsidRPr="00D22838">
        <w:rPr>
          <w:rFonts w:ascii="Arial" w:hAnsi="Arial" w:cs="Arial"/>
          <w:sz w:val="22"/>
          <w:szCs w:val="22"/>
        </w:rPr>
        <w:t>Dohod</w:t>
      </w:r>
      <w:r w:rsidRPr="00D22838">
        <w:rPr>
          <w:rFonts w:ascii="Arial" w:hAnsi="Arial" w:cs="Arial"/>
          <w:sz w:val="22"/>
          <w:szCs w:val="22"/>
        </w:rPr>
        <w:t xml:space="preserve">ě, případně na emailové adresy později písemně oznámené druhé smluvní straně; touto formou však nemůže dojít ke změně podmínek a/nebo ukončení </w:t>
      </w:r>
      <w:r w:rsidR="00EA5418" w:rsidRPr="00D22838">
        <w:rPr>
          <w:rFonts w:ascii="Arial" w:hAnsi="Arial" w:cs="Arial"/>
          <w:sz w:val="22"/>
          <w:szCs w:val="22"/>
        </w:rPr>
        <w:t>Dohod</w:t>
      </w:r>
      <w:r w:rsidR="00CA2706" w:rsidRPr="00D22838">
        <w:rPr>
          <w:rFonts w:ascii="Arial" w:hAnsi="Arial" w:cs="Arial"/>
          <w:sz w:val="22"/>
          <w:szCs w:val="22"/>
        </w:rPr>
        <w:t>y</w:t>
      </w:r>
      <w:r w:rsidR="00741932" w:rsidRPr="00D22838">
        <w:rPr>
          <w:rFonts w:ascii="Arial" w:hAnsi="Arial" w:cs="Arial"/>
          <w:sz w:val="22"/>
          <w:szCs w:val="22"/>
        </w:rPr>
        <w:t>.</w:t>
      </w:r>
    </w:p>
    <w:p w14:paraId="50979C63" w14:textId="62E8B336" w:rsidR="005B2AC9" w:rsidRPr="005B2AC9" w:rsidRDefault="004B5F56" w:rsidP="005B2AC9">
      <w:pPr>
        <w:pStyle w:val="Odstavecseseznamem"/>
        <w:keepNext/>
        <w:keepLines/>
        <w:widowControl w:val="0"/>
        <w:numPr>
          <w:ilvl w:val="0"/>
          <w:numId w:val="9"/>
        </w:numPr>
        <w:autoSpaceDE w:val="0"/>
        <w:autoSpaceDN w:val="0"/>
        <w:adjustRightInd w:val="0"/>
        <w:ind w:left="357"/>
        <w:contextualSpacing w:val="0"/>
        <w:jc w:val="both"/>
        <w:rPr>
          <w:rFonts w:ascii="Arial" w:hAnsi="Arial" w:cs="Arial"/>
          <w:sz w:val="22"/>
          <w:szCs w:val="22"/>
        </w:rPr>
      </w:pPr>
      <w:r w:rsidRPr="00D22838">
        <w:rPr>
          <w:rFonts w:ascii="Arial" w:hAnsi="Arial" w:cs="Arial"/>
          <w:sz w:val="22"/>
          <w:szCs w:val="22"/>
        </w:rPr>
        <w:t>Dodavatel není</w:t>
      </w:r>
      <w:r w:rsidR="00CA739A" w:rsidRPr="00D22838">
        <w:rPr>
          <w:rFonts w:ascii="Arial" w:hAnsi="Arial" w:cs="Arial"/>
          <w:sz w:val="22"/>
          <w:szCs w:val="22"/>
        </w:rPr>
        <w:t>, bez předchozího písemného souhlasu Objednatele,</w:t>
      </w:r>
      <w:r w:rsidRPr="00D22838">
        <w:rPr>
          <w:rFonts w:ascii="Arial" w:hAnsi="Arial" w:cs="Arial"/>
          <w:sz w:val="22"/>
          <w:szCs w:val="22"/>
        </w:rPr>
        <w:t xml:space="preserve"> oprávněn použít ve svých dokumentech, prezentacích či reklamě odkazy na obchodní firmu (název) </w:t>
      </w:r>
      <w:r w:rsidR="007D072B" w:rsidRPr="00D22838">
        <w:rPr>
          <w:rFonts w:ascii="Arial" w:hAnsi="Arial" w:cs="Arial"/>
          <w:sz w:val="22"/>
          <w:szCs w:val="22"/>
        </w:rPr>
        <w:t>O</w:t>
      </w:r>
      <w:r w:rsidRPr="00D22838">
        <w:rPr>
          <w:rFonts w:ascii="Arial" w:hAnsi="Arial" w:cs="Arial"/>
          <w:sz w:val="22"/>
          <w:szCs w:val="22"/>
        </w:rPr>
        <w:t>bjednatele nebo jakýkoliv jiný odkaz, který by mohl</w:t>
      </w:r>
      <w:r w:rsidR="00A56ED6" w:rsidRPr="00D22838">
        <w:rPr>
          <w:rFonts w:ascii="Arial" w:hAnsi="Arial" w:cs="Arial"/>
          <w:sz w:val="22"/>
          <w:szCs w:val="22"/>
        </w:rPr>
        <w:t>,</w:t>
      </w:r>
      <w:r w:rsidRPr="00D22838">
        <w:rPr>
          <w:rFonts w:ascii="Arial" w:hAnsi="Arial" w:cs="Arial"/>
          <w:sz w:val="22"/>
          <w:szCs w:val="22"/>
        </w:rPr>
        <w:t xml:space="preserve"> byť i nepřímo</w:t>
      </w:r>
      <w:r w:rsidR="00A56ED6" w:rsidRPr="00D22838">
        <w:rPr>
          <w:rFonts w:ascii="Arial" w:hAnsi="Arial" w:cs="Arial"/>
          <w:sz w:val="22"/>
          <w:szCs w:val="22"/>
        </w:rPr>
        <w:t>,</w:t>
      </w:r>
      <w:r w:rsidRPr="00D22838">
        <w:rPr>
          <w:rFonts w:ascii="Arial" w:hAnsi="Arial" w:cs="Arial"/>
          <w:sz w:val="22"/>
          <w:szCs w:val="22"/>
        </w:rPr>
        <w:t xml:space="preserve"> vést k identifikaci </w:t>
      </w:r>
      <w:r w:rsidR="007D072B" w:rsidRPr="00D22838">
        <w:rPr>
          <w:rFonts w:ascii="Arial" w:hAnsi="Arial" w:cs="Arial"/>
          <w:sz w:val="22"/>
          <w:szCs w:val="22"/>
        </w:rPr>
        <w:t>O</w:t>
      </w:r>
      <w:r w:rsidRPr="00D22838">
        <w:rPr>
          <w:rFonts w:ascii="Arial" w:hAnsi="Arial" w:cs="Arial"/>
          <w:sz w:val="22"/>
          <w:szCs w:val="22"/>
        </w:rPr>
        <w:t>bjednatele.</w:t>
      </w:r>
    </w:p>
    <w:p w14:paraId="6A9F438D" w14:textId="77777777" w:rsidR="004B5F56" w:rsidRPr="00D22838" w:rsidRDefault="004B5F56" w:rsidP="000940CF">
      <w:pPr>
        <w:pStyle w:val="Odstavecseseznamem"/>
        <w:widowControl w:val="0"/>
        <w:numPr>
          <w:ilvl w:val="0"/>
          <w:numId w:val="9"/>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Dodavatel se dále zavazuje:</w:t>
      </w:r>
    </w:p>
    <w:p w14:paraId="7AEF7AAB" w14:textId="06C6FC8D" w:rsidR="004B5F56" w:rsidRPr="00D22838" w:rsidRDefault="004B5F56" w:rsidP="000940CF">
      <w:pPr>
        <w:pStyle w:val="Odstavecseseznamem"/>
        <w:widowControl w:val="0"/>
        <w:numPr>
          <w:ilvl w:val="0"/>
          <w:numId w:val="3"/>
        </w:numPr>
        <w:autoSpaceDE w:val="0"/>
        <w:autoSpaceDN w:val="0"/>
        <w:adjustRightInd w:val="0"/>
        <w:spacing w:after="120"/>
        <w:jc w:val="both"/>
        <w:rPr>
          <w:rFonts w:ascii="Arial" w:hAnsi="Arial" w:cs="Arial"/>
          <w:sz w:val="22"/>
          <w:szCs w:val="22"/>
        </w:rPr>
      </w:pPr>
      <w:r w:rsidRPr="00D22838">
        <w:rPr>
          <w:rFonts w:ascii="Arial" w:hAnsi="Arial" w:cs="Arial"/>
          <w:sz w:val="22"/>
          <w:szCs w:val="22"/>
        </w:rPr>
        <w:t xml:space="preserve">informovat neprodleně </w:t>
      </w:r>
      <w:r w:rsidR="007D072B" w:rsidRPr="00D22838">
        <w:rPr>
          <w:rFonts w:ascii="Arial" w:hAnsi="Arial" w:cs="Arial"/>
          <w:sz w:val="22"/>
          <w:szCs w:val="22"/>
        </w:rPr>
        <w:t>O</w:t>
      </w:r>
      <w:r w:rsidRPr="00D22838">
        <w:rPr>
          <w:rFonts w:ascii="Arial" w:hAnsi="Arial" w:cs="Arial"/>
          <w:sz w:val="22"/>
          <w:szCs w:val="22"/>
        </w:rPr>
        <w:t xml:space="preserve">bjednatele o všech skutečnostech majících vliv na plnění dle </w:t>
      </w:r>
      <w:r w:rsidR="00EA5418" w:rsidRPr="00D22838">
        <w:rPr>
          <w:rFonts w:ascii="Arial" w:hAnsi="Arial" w:cs="Arial"/>
          <w:sz w:val="22"/>
          <w:szCs w:val="22"/>
        </w:rPr>
        <w:t>Dohod</w:t>
      </w:r>
      <w:r w:rsidRPr="00D22838">
        <w:rPr>
          <w:rFonts w:ascii="Arial" w:hAnsi="Arial" w:cs="Arial"/>
          <w:sz w:val="22"/>
          <w:szCs w:val="22"/>
        </w:rPr>
        <w:t>y,</w:t>
      </w:r>
    </w:p>
    <w:p w14:paraId="5041FB64" w14:textId="69B9AF88" w:rsidR="004B5F56" w:rsidRPr="00D22838" w:rsidRDefault="004B5F56" w:rsidP="000940CF">
      <w:pPr>
        <w:pStyle w:val="Odstavecseseznamem"/>
        <w:widowControl w:val="0"/>
        <w:numPr>
          <w:ilvl w:val="0"/>
          <w:numId w:val="3"/>
        </w:numPr>
        <w:autoSpaceDE w:val="0"/>
        <w:autoSpaceDN w:val="0"/>
        <w:adjustRightInd w:val="0"/>
        <w:spacing w:after="120"/>
        <w:jc w:val="both"/>
        <w:rPr>
          <w:rFonts w:ascii="Arial" w:hAnsi="Arial" w:cs="Arial"/>
          <w:sz w:val="22"/>
          <w:szCs w:val="22"/>
        </w:rPr>
      </w:pPr>
      <w:r w:rsidRPr="00D22838">
        <w:rPr>
          <w:rFonts w:ascii="Arial" w:hAnsi="Arial" w:cs="Arial"/>
          <w:sz w:val="22"/>
          <w:szCs w:val="22"/>
        </w:rPr>
        <w:t xml:space="preserve">plnit řádně a vždy ve stanoveném termínu své povinnosti vyplývající z </w:t>
      </w:r>
      <w:r w:rsidR="00EA5418" w:rsidRPr="00D22838">
        <w:rPr>
          <w:rFonts w:ascii="Arial" w:hAnsi="Arial" w:cs="Arial"/>
          <w:sz w:val="22"/>
          <w:szCs w:val="22"/>
        </w:rPr>
        <w:t>Dohod</w:t>
      </w:r>
      <w:r w:rsidRPr="00D22838">
        <w:rPr>
          <w:rFonts w:ascii="Arial" w:hAnsi="Arial" w:cs="Arial"/>
          <w:sz w:val="22"/>
          <w:szCs w:val="22"/>
        </w:rPr>
        <w:t>y,</w:t>
      </w:r>
    </w:p>
    <w:p w14:paraId="0E55FC2E" w14:textId="7CD350A6" w:rsidR="004B5F56" w:rsidRDefault="004B5F56" w:rsidP="000940CF">
      <w:pPr>
        <w:pStyle w:val="Odstavecseseznamem"/>
        <w:widowControl w:val="0"/>
        <w:numPr>
          <w:ilvl w:val="0"/>
          <w:numId w:val="3"/>
        </w:numPr>
        <w:autoSpaceDE w:val="0"/>
        <w:autoSpaceDN w:val="0"/>
        <w:adjustRightInd w:val="0"/>
        <w:spacing w:after="120"/>
        <w:jc w:val="both"/>
        <w:rPr>
          <w:rFonts w:ascii="Arial" w:hAnsi="Arial" w:cs="Arial"/>
          <w:sz w:val="22"/>
          <w:szCs w:val="22"/>
        </w:rPr>
      </w:pPr>
      <w:r w:rsidRPr="00D22838">
        <w:rPr>
          <w:rFonts w:ascii="Arial" w:hAnsi="Arial" w:cs="Arial"/>
          <w:sz w:val="22"/>
          <w:szCs w:val="22"/>
        </w:rPr>
        <w:t xml:space="preserve">na vyžádání </w:t>
      </w:r>
      <w:r w:rsidR="007D072B" w:rsidRPr="00D22838">
        <w:rPr>
          <w:rFonts w:ascii="Arial" w:hAnsi="Arial" w:cs="Arial"/>
          <w:sz w:val="22"/>
          <w:szCs w:val="22"/>
        </w:rPr>
        <w:t>O</w:t>
      </w:r>
      <w:r w:rsidRPr="00D22838">
        <w:rPr>
          <w:rFonts w:ascii="Arial" w:hAnsi="Arial" w:cs="Arial"/>
          <w:sz w:val="22"/>
          <w:szCs w:val="22"/>
        </w:rPr>
        <w:t xml:space="preserve">bjednatele se zúčastnit osobní schůzky, pokud </w:t>
      </w:r>
      <w:r w:rsidR="007D072B" w:rsidRPr="00D22838">
        <w:rPr>
          <w:rFonts w:ascii="Arial" w:hAnsi="Arial" w:cs="Arial"/>
          <w:sz w:val="22"/>
          <w:szCs w:val="22"/>
        </w:rPr>
        <w:t>O</w:t>
      </w:r>
      <w:r w:rsidRPr="00D22838">
        <w:rPr>
          <w:rFonts w:ascii="Arial" w:hAnsi="Arial" w:cs="Arial"/>
          <w:sz w:val="22"/>
          <w:szCs w:val="22"/>
        </w:rPr>
        <w:t>bjednatel požádá o schůzku nejpozději pět (5) pracovních dnů předem</w:t>
      </w:r>
      <w:r w:rsidR="00CA739A" w:rsidRPr="00D22838">
        <w:rPr>
          <w:rFonts w:ascii="Arial" w:hAnsi="Arial" w:cs="Arial"/>
          <w:sz w:val="22"/>
          <w:szCs w:val="22"/>
        </w:rPr>
        <w:t>;</w:t>
      </w:r>
      <w:r w:rsidRPr="00D22838">
        <w:rPr>
          <w:rFonts w:ascii="Arial" w:hAnsi="Arial" w:cs="Arial"/>
          <w:sz w:val="22"/>
          <w:szCs w:val="22"/>
        </w:rPr>
        <w:t xml:space="preserve"> </w:t>
      </w:r>
      <w:r w:rsidR="00CA739A" w:rsidRPr="00D22838">
        <w:rPr>
          <w:rFonts w:ascii="Arial" w:hAnsi="Arial" w:cs="Arial"/>
          <w:sz w:val="22"/>
          <w:szCs w:val="22"/>
        </w:rPr>
        <w:t>v</w:t>
      </w:r>
      <w:r w:rsidRPr="00D22838">
        <w:rPr>
          <w:rFonts w:ascii="Arial" w:hAnsi="Arial" w:cs="Arial"/>
          <w:sz w:val="22"/>
          <w:szCs w:val="22"/>
        </w:rPr>
        <w:t xml:space="preserve"> mimořádně naléhavých případech je možno tento termín pro výzvu zkrátit, a to na 1 pracovní den předem</w:t>
      </w:r>
      <w:r w:rsidR="00B87567">
        <w:rPr>
          <w:rFonts w:ascii="Arial" w:hAnsi="Arial" w:cs="Arial"/>
          <w:sz w:val="22"/>
          <w:szCs w:val="22"/>
        </w:rPr>
        <w:t>,</w:t>
      </w:r>
    </w:p>
    <w:p w14:paraId="57FFEB06" w14:textId="1489DD62" w:rsidR="00107A43" w:rsidRDefault="00E21193" w:rsidP="00107A43">
      <w:pPr>
        <w:pStyle w:val="Odstavecseseznamem"/>
        <w:numPr>
          <w:ilvl w:val="0"/>
          <w:numId w:val="3"/>
        </w:numPr>
        <w:spacing w:after="120" w:line="240" w:lineRule="atLeast"/>
        <w:jc w:val="both"/>
        <w:rPr>
          <w:rFonts w:ascii="Arial" w:hAnsi="Arial" w:cs="Arial"/>
          <w:sz w:val="22"/>
          <w:szCs w:val="22"/>
        </w:rPr>
      </w:pPr>
      <w:r>
        <w:rPr>
          <w:rFonts w:ascii="Arial" w:hAnsi="Arial" w:cs="Arial"/>
          <w:sz w:val="22"/>
          <w:szCs w:val="22"/>
        </w:rPr>
        <w:t xml:space="preserve">realizovat Předmět Dohody </w:t>
      </w:r>
      <w:r w:rsidR="002D397D">
        <w:rPr>
          <w:rFonts w:ascii="Arial" w:hAnsi="Arial" w:cs="Arial"/>
          <w:sz w:val="22"/>
          <w:szCs w:val="22"/>
        </w:rPr>
        <w:t>č</w:t>
      </w:r>
      <w:r w:rsidR="00EA39E9" w:rsidRPr="00AA6E06">
        <w:rPr>
          <w:rFonts w:ascii="Arial" w:hAnsi="Arial" w:cs="Arial"/>
          <w:sz w:val="22"/>
          <w:szCs w:val="22"/>
        </w:rPr>
        <w:t>len</w:t>
      </w:r>
      <w:r>
        <w:rPr>
          <w:rFonts w:ascii="Arial" w:hAnsi="Arial" w:cs="Arial"/>
          <w:sz w:val="22"/>
          <w:szCs w:val="22"/>
        </w:rPr>
        <w:t>y</w:t>
      </w:r>
      <w:r w:rsidR="00EA39E9" w:rsidRPr="00AA6E06">
        <w:rPr>
          <w:rFonts w:ascii="Arial" w:hAnsi="Arial" w:cs="Arial"/>
          <w:sz w:val="22"/>
          <w:szCs w:val="22"/>
        </w:rPr>
        <w:t xml:space="preserve"> realizačního týmu</w:t>
      </w:r>
      <w:r w:rsidR="00D47FC1" w:rsidRPr="00AA6E06">
        <w:rPr>
          <w:rFonts w:ascii="Arial" w:hAnsi="Arial" w:cs="Arial"/>
          <w:sz w:val="22"/>
          <w:szCs w:val="22"/>
        </w:rPr>
        <w:t xml:space="preserve"> dle Přílohy č. 3 </w:t>
      </w:r>
      <w:r w:rsidR="009F2509" w:rsidRPr="00AA6E06">
        <w:rPr>
          <w:rFonts w:ascii="Arial" w:hAnsi="Arial" w:cs="Arial"/>
          <w:sz w:val="22"/>
          <w:szCs w:val="22"/>
        </w:rPr>
        <w:t>Dohody</w:t>
      </w:r>
      <w:r w:rsidR="00990AEA" w:rsidRPr="00AA6E06">
        <w:rPr>
          <w:rFonts w:ascii="Arial" w:hAnsi="Arial" w:cs="Arial"/>
          <w:sz w:val="22"/>
          <w:szCs w:val="22"/>
        </w:rPr>
        <w:t xml:space="preserve"> – Seznam členů týmu</w:t>
      </w:r>
      <w:r w:rsidR="00EA39E9" w:rsidRPr="00AA6E06">
        <w:rPr>
          <w:rFonts w:ascii="Arial" w:hAnsi="Arial" w:cs="Arial"/>
          <w:sz w:val="22"/>
          <w:szCs w:val="22"/>
        </w:rPr>
        <w:t>,</w:t>
      </w:r>
      <w:r w:rsidR="00D544AC" w:rsidRPr="00AA6E06">
        <w:rPr>
          <w:rFonts w:ascii="Arial" w:hAnsi="Arial" w:cs="Arial"/>
          <w:sz w:val="22"/>
          <w:szCs w:val="22"/>
        </w:rPr>
        <w:t xml:space="preserve"> </w:t>
      </w:r>
      <w:r w:rsidR="00424D7E">
        <w:rPr>
          <w:rFonts w:ascii="Arial" w:hAnsi="Arial" w:cs="Arial"/>
          <w:sz w:val="22"/>
          <w:szCs w:val="22"/>
        </w:rPr>
        <w:t xml:space="preserve">kteří </w:t>
      </w:r>
      <w:r w:rsidR="001D2C5D">
        <w:rPr>
          <w:rFonts w:ascii="Arial" w:hAnsi="Arial" w:cs="Arial"/>
          <w:sz w:val="22"/>
          <w:szCs w:val="22"/>
        </w:rPr>
        <w:t>jsou povinni</w:t>
      </w:r>
      <w:r w:rsidR="00993DB4">
        <w:rPr>
          <w:rFonts w:ascii="Arial" w:hAnsi="Arial" w:cs="Arial"/>
          <w:sz w:val="22"/>
          <w:szCs w:val="22"/>
        </w:rPr>
        <w:t xml:space="preserve"> se</w:t>
      </w:r>
      <w:r w:rsidR="00EA39E9" w:rsidRPr="00AA6E06">
        <w:rPr>
          <w:rFonts w:ascii="Arial" w:hAnsi="Arial" w:cs="Arial"/>
          <w:sz w:val="22"/>
          <w:szCs w:val="22"/>
        </w:rPr>
        <w:t xml:space="preserve"> podílet na plnění </w:t>
      </w:r>
      <w:r w:rsidR="00037764" w:rsidRPr="00AA6E06">
        <w:rPr>
          <w:rFonts w:ascii="Arial" w:hAnsi="Arial" w:cs="Arial"/>
          <w:sz w:val="22"/>
          <w:szCs w:val="22"/>
        </w:rPr>
        <w:t>Předmětu Dohody</w:t>
      </w:r>
      <w:r w:rsidR="00EA39E9" w:rsidRPr="00AA6E06">
        <w:rPr>
          <w:rFonts w:ascii="Arial" w:hAnsi="Arial" w:cs="Arial"/>
          <w:sz w:val="22"/>
          <w:szCs w:val="22"/>
        </w:rPr>
        <w:t xml:space="preserve"> po celou dobu jejího trvání. </w:t>
      </w:r>
      <w:r w:rsidR="00107A43" w:rsidRPr="00AA6E06">
        <w:rPr>
          <w:rFonts w:ascii="Arial" w:hAnsi="Arial" w:cs="Arial"/>
          <w:sz w:val="22"/>
          <w:szCs w:val="22"/>
        </w:rPr>
        <w:t xml:space="preserve">V případě, že v průběhu realizace </w:t>
      </w:r>
      <w:r w:rsidR="00ED38CA" w:rsidRPr="00AA6E06">
        <w:rPr>
          <w:rFonts w:ascii="Arial" w:hAnsi="Arial" w:cs="Arial"/>
          <w:sz w:val="22"/>
          <w:szCs w:val="22"/>
        </w:rPr>
        <w:t>P</w:t>
      </w:r>
      <w:r w:rsidR="0056779B" w:rsidRPr="00AA6E06">
        <w:rPr>
          <w:rFonts w:ascii="Arial" w:hAnsi="Arial" w:cs="Arial"/>
          <w:sz w:val="22"/>
          <w:szCs w:val="22"/>
        </w:rPr>
        <w:t>ředmětu</w:t>
      </w:r>
      <w:r w:rsidR="00ED38CA" w:rsidRPr="00AA6E06">
        <w:rPr>
          <w:rFonts w:ascii="Arial" w:hAnsi="Arial" w:cs="Arial"/>
          <w:sz w:val="22"/>
          <w:szCs w:val="22"/>
        </w:rPr>
        <w:t xml:space="preserve"> Doho</w:t>
      </w:r>
      <w:r w:rsidR="00BC3D0D" w:rsidRPr="00AA6E06">
        <w:rPr>
          <w:rFonts w:ascii="Arial" w:hAnsi="Arial" w:cs="Arial"/>
          <w:sz w:val="22"/>
          <w:szCs w:val="22"/>
        </w:rPr>
        <w:t>d</w:t>
      </w:r>
      <w:r w:rsidR="00ED38CA" w:rsidRPr="00AA6E06">
        <w:rPr>
          <w:rFonts w:ascii="Arial" w:hAnsi="Arial" w:cs="Arial"/>
          <w:sz w:val="22"/>
          <w:szCs w:val="22"/>
        </w:rPr>
        <w:t>y</w:t>
      </w:r>
      <w:r w:rsidR="00107A43" w:rsidRPr="00AA6E06">
        <w:rPr>
          <w:rFonts w:ascii="Arial" w:hAnsi="Arial" w:cs="Arial"/>
          <w:sz w:val="22"/>
          <w:szCs w:val="22"/>
        </w:rPr>
        <w:t xml:space="preserve"> se některý člen týmu již nebude moci z vážných důvodů podílet na dalším plnění </w:t>
      </w:r>
      <w:r w:rsidR="00BC3D0D" w:rsidRPr="00AA6E06">
        <w:rPr>
          <w:rFonts w:ascii="Arial" w:hAnsi="Arial" w:cs="Arial"/>
          <w:sz w:val="22"/>
          <w:szCs w:val="22"/>
        </w:rPr>
        <w:t>Předmětu Dohody</w:t>
      </w:r>
      <w:r w:rsidR="00107A43" w:rsidRPr="00AA6E06">
        <w:rPr>
          <w:rFonts w:ascii="Arial" w:hAnsi="Arial" w:cs="Arial"/>
          <w:sz w:val="22"/>
          <w:szCs w:val="22"/>
        </w:rPr>
        <w:t xml:space="preserve"> (např. z důvodu jeho úmrtí nebo z důvodu ukončení jeho smluvního vztahu s Dodavatelem), je Dodavatel povinen neprodleně takového člena týmu nahradit novou osobou. Výměna člena týmu je však možná pouze za podmínek, že nově navrhovaný člen týmu má stejnou kvalifikaci (požadované certifikáty, zkušenosti apod.) jako původní člen a zároveň tuto výměnu předem písemně schválil </w:t>
      </w:r>
      <w:r w:rsidR="00BC3D0D" w:rsidRPr="00AA6E06">
        <w:rPr>
          <w:rFonts w:ascii="Arial" w:hAnsi="Arial" w:cs="Arial"/>
          <w:sz w:val="22"/>
          <w:szCs w:val="22"/>
        </w:rPr>
        <w:t>Objednatel</w:t>
      </w:r>
      <w:r w:rsidR="001B08C3">
        <w:rPr>
          <w:rFonts w:ascii="Arial" w:hAnsi="Arial" w:cs="Arial"/>
          <w:sz w:val="22"/>
          <w:szCs w:val="22"/>
        </w:rPr>
        <w:t>,</w:t>
      </w:r>
    </w:p>
    <w:p w14:paraId="0BCA294F" w14:textId="6AE480F1" w:rsidR="001B08C3" w:rsidRPr="00704DF2" w:rsidRDefault="001B08C3" w:rsidP="002656B6">
      <w:pPr>
        <w:pStyle w:val="Odstavecseseznamem"/>
        <w:numPr>
          <w:ilvl w:val="0"/>
          <w:numId w:val="3"/>
        </w:numPr>
        <w:tabs>
          <w:tab w:val="left" w:pos="426"/>
        </w:tabs>
        <w:spacing w:before="240" w:after="120"/>
        <w:jc w:val="both"/>
        <w:rPr>
          <w:rFonts w:ascii="Arial" w:hAnsi="Arial" w:cs="Arial"/>
          <w:sz w:val="22"/>
          <w:szCs w:val="22"/>
        </w:rPr>
      </w:pPr>
      <w:r w:rsidRPr="00704DF2">
        <w:rPr>
          <w:rFonts w:ascii="Arial" w:hAnsi="Arial" w:cs="Arial"/>
          <w:sz w:val="22"/>
          <w:szCs w:val="22"/>
        </w:rPr>
        <w:t xml:space="preserve">mít po celou dobu trvání </w:t>
      </w:r>
      <w:r w:rsidR="002D397D" w:rsidRPr="00704DF2">
        <w:rPr>
          <w:rFonts w:ascii="Arial" w:hAnsi="Arial" w:cs="Arial"/>
          <w:sz w:val="22"/>
          <w:szCs w:val="22"/>
        </w:rPr>
        <w:t>D</w:t>
      </w:r>
      <w:r w:rsidRPr="00704DF2">
        <w:rPr>
          <w:rFonts w:ascii="Arial" w:hAnsi="Arial" w:cs="Arial"/>
          <w:sz w:val="22"/>
          <w:szCs w:val="22"/>
        </w:rPr>
        <w:t>ohody sjednáno platné pojištění odpovědnosti za škodu způsobenou třetí osobě při výkonu podnikatelských činností, které jsou předmětem plněn</w:t>
      </w:r>
      <w:r w:rsidR="00A2285E">
        <w:rPr>
          <w:rFonts w:ascii="Arial" w:hAnsi="Arial" w:cs="Arial"/>
          <w:sz w:val="22"/>
          <w:szCs w:val="22"/>
        </w:rPr>
        <w:t>í</w:t>
      </w:r>
      <w:r w:rsidRPr="00704DF2">
        <w:rPr>
          <w:rFonts w:ascii="Arial" w:hAnsi="Arial" w:cs="Arial"/>
          <w:sz w:val="22"/>
          <w:szCs w:val="22"/>
        </w:rPr>
        <w:t xml:space="preserve"> </w:t>
      </w:r>
      <w:r w:rsidR="002D397D" w:rsidRPr="00704DF2">
        <w:rPr>
          <w:rFonts w:ascii="Arial" w:hAnsi="Arial" w:cs="Arial"/>
          <w:sz w:val="22"/>
          <w:szCs w:val="22"/>
        </w:rPr>
        <w:t>této Dohody</w:t>
      </w:r>
      <w:r w:rsidRPr="00704DF2">
        <w:rPr>
          <w:rFonts w:ascii="Arial" w:hAnsi="Arial" w:cs="Arial"/>
          <w:sz w:val="22"/>
          <w:szCs w:val="22"/>
        </w:rPr>
        <w:t>, a to s pojistným plněním vyplývajícím z takového pojištění minimálně v hodnotě 20 mil. Kč.</w:t>
      </w:r>
      <w:r w:rsidR="00A47840" w:rsidRPr="00704DF2">
        <w:rPr>
          <w:rFonts w:ascii="Arial" w:hAnsi="Arial" w:cs="Arial"/>
          <w:sz w:val="22"/>
          <w:szCs w:val="22"/>
        </w:rPr>
        <w:t xml:space="preserve"> </w:t>
      </w:r>
    </w:p>
    <w:p w14:paraId="51C9EAA9" w14:textId="77777777" w:rsidR="00B87567" w:rsidRPr="00D22838" w:rsidRDefault="00B87567" w:rsidP="00107A43">
      <w:pPr>
        <w:pStyle w:val="Odstavecseseznamem"/>
        <w:widowControl w:val="0"/>
        <w:autoSpaceDE w:val="0"/>
        <w:autoSpaceDN w:val="0"/>
        <w:adjustRightInd w:val="0"/>
        <w:spacing w:after="120"/>
        <w:ind w:left="786"/>
        <w:jc w:val="both"/>
        <w:rPr>
          <w:rFonts w:ascii="Arial" w:hAnsi="Arial" w:cs="Arial"/>
          <w:sz w:val="22"/>
          <w:szCs w:val="22"/>
        </w:rPr>
      </w:pPr>
    </w:p>
    <w:p w14:paraId="13B823D1" w14:textId="05B1E74E" w:rsidR="004B5F56" w:rsidRPr="00D22838" w:rsidRDefault="004B5F56" w:rsidP="000940CF">
      <w:pPr>
        <w:pStyle w:val="Odstavecseseznamem"/>
        <w:widowControl w:val="0"/>
        <w:numPr>
          <w:ilvl w:val="0"/>
          <w:numId w:val="9"/>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V p</w:t>
      </w:r>
      <w:r w:rsidR="00EA5418" w:rsidRPr="00D22838">
        <w:rPr>
          <w:rFonts w:ascii="Arial" w:hAnsi="Arial" w:cs="Arial"/>
          <w:sz w:val="22"/>
          <w:szCs w:val="22"/>
        </w:rPr>
        <w:t>řípadě provádění předmětu Dohod</w:t>
      </w:r>
      <w:r w:rsidRPr="00D22838">
        <w:rPr>
          <w:rFonts w:ascii="Arial" w:hAnsi="Arial" w:cs="Arial"/>
          <w:sz w:val="22"/>
          <w:szCs w:val="22"/>
        </w:rPr>
        <w:t xml:space="preserve">y </w:t>
      </w:r>
      <w:r w:rsidR="005F6E34">
        <w:rPr>
          <w:rFonts w:ascii="Arial" w:hAnsi="Arial" w:cs="Arial"/>
          <w:sz w:val="22"/>
          <w:szCs w:val="22"/>
        </w:rPr>
        <w:t>pod</w:t>
      </w:r>
      <w:r w:rsidR="005F6E34" w:rsidRPr="00D22838">
        <w:rPr>
          <w:rFonts w:ascii="Arial" w:hAnsi="Arial" w:cs="Arial"/>
          <w:sz w:val="22"/>
          <w:szCs w:val="22"/>
        </w:rPr>
        <w:t>dodavateli</w:t>
      </w:r>
      <w:r w:rsidR="00CA739A" w:rsidRPr="00D22838">
        <w:rPr>
          <w:rFonts w:ascii="Arial" w:hAnsi="Arial" w:cs="Arial"/>
          <w:sz w:val="22"/>
          <w:szCs w:val="22"/>
        </w:rPr>
        <w:t>,</w:t>
      </w:r>
      <w:r w:rsidRPr="00D22838">
        <w:rPr>
          <w:rFonts w:ascii="Arial" w:hAnsi="Arial" w:cs="Arial"/>
          <w:sz w:val="22"/>
          <w:szCs w:val="22"/>
        </w:rPr>
        <w:t xml:space="preserve"> odpovídá za tyto části předmětu </w:t>
      </w:r>
      <w:r w:rsidR="00EA5418" w:rsidRPr="00D22838">
        <w:rPr>
          <w:rFonts w:ascii="Arial" w:hAnsi="Arial" w:cs="Arial"/>
          <w:sz w:val="22"/>
          <w:szCs w:val="22"/>
        </w:rPr>
        <w:t>Dohod</w:t>
      </w:r>
      <w:r w:rsidRPr="00D22838">
        <w:rPr>
          <w:rFonts w:ascii="Arial" w:hAnsi="Arial" w:cs="Arial"/>
          <w:sz w:val="22"/>
          <w:szCs w:val="22"/>
        </w:rPr>
        <w:t xml:space="preserve">y </w:t>
      </w:r>
      <w:r w:rsidR="007D072B" w:rsidRPr="00D22838">
        <w:rPr>
          <w:rFonts w:ascii="Arial" w:hAnsi="Arial" w:cs="Arial"/>
          <w:sz w:val="22"/>
          <w:szCs w:val="22"/>
        </w:rPr>
        <w:t>D</w:t>
      </w:r>
      <w:r w:rsidRPr="00D22838">
        <w:rPr>
          <w:rFonts w:ascii="Arial" w:hAnsi="Arial" w:cs="Arial"/>
          <w:sz w:val="22"/>
          <w:szCs w:val="22"/>
        </w:rPr>
        <w:t xml:space="preserve">odavatel tak, jako by předmět </w:t>
      </w:r>
      <w:r w:rsidR="00EA5418" w:rsidRPr="00D22838">
        <w:rPr>
          <w:rFonts w:ascii="Arial" w:hAnsi="Arial" w:cs="Arial"/>
          <w:sz w:val="22"/>
          <w:szCs w:val="22"/>
        </w:rPr>
        <w:t>Dohod</w:t>
      </w:r>
      <w:r w:rsidR="001E4C33" w:rsidRPr="00D22838">
        <w:rPr>
          <w:rFonts w:ascii="Arial" w:hAnsi="Arial" w:cs="Arial"/>
          <w:sz w:val="22"/>
          <w:szCs w:val="22"/>
        </w:rPr>
        <w:t>y prováděl sám.</w:t>
      </w:r>
    </w:p>
    <w:p w14:paraId="1A42B7C2" w14:textId="41306DC5" w:rsidR="004B5F56" w:rsidRPr="00D22838" w:rsidRDefault="004B5F56" w:rsidP="000940CF">
      <w:pPr>
        <w:pStyle w:val="Odstavecseseznamem"/>
        <w:widowControl w:val="0"/>
        <w:numPr>
          <w:ilvl w:val="0"/>
          <w:numId w:val="9"/>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Smluvní strany si ve smyslu ustanovení § 1765 odst. 2 a </w:t>
      </w:r>
      <w:proofErr w:type="spellStart"/>
      <w:r w:rsidRPr="00D22838">
        <w:rPr>
          <w:rFonts w:ascii="Arial" w:hAnsi="Arial" w:cs="Arial"/>
          <w:sz w:val="22"/>
          <w:szCs w:val="22"/>
        </w:rPr>
        <w:t>ust</w:t>
      </w:r>
      <w:proofErr w:type="spellEnd"/>
      <w:r w:rsidRPr="00D22838">
        <w:rPr>
          <w:rFonts w:ascii="Arial" w:hAnsi="Arial" w:cs="Arial"/>
          <w:sz w:val="22"/>
          <w:szCs w:val="22"/>
        </w:rPr>
        <w:t xml:space="preserve">. § 2620 odst. 2 </w:t>
      </w:r>
      <w:r w:rsidR="00483EB9" w:rsidRPr="00D22838">
        <w:rPr>
          <w:rFonts w:ascii="Arial" w:hAnsi="Arial" w:cs="Arial"/>
          <w:sz w:val="22"/>
          <w:szCs w:val="22"/>
        </w:rPr>
        <w:t>OZ</w:t>
      </w:r>
      <w:r w:rsidRPr="00D22838">
        <w:rPr>
          <w:rFonts w:ascii="Arial" w:hAnsi="Arial" w:cs="Arial"/>
          <w:sz w:val="22"/>
          <w:szCs w:val="22"/>
        </w:rPr>
        <w:t xml:space="preserve"> ujednaly, že </w:t>
      </w:r>
      <w:r w:rsidR="007D072B" w:rsidRPr="00D22838">
        <w:rPr>
          <w:rFonts w:ascii="Arial" w:hAnsi="Arial" w:cs="Arial"/>
          <w:sz w:val="22"/>
          <w:szCs w:val="22"/>
        </w:rPr>
        <w:t>D</w:t>
      </w:r>
      <w:r w:rsidRPr="00D22838">
        <w:rPr>
          <w:rFonts w:ascii="Arial" w:hAnsi="Arial" w:cs="Arial"/>
          <w:sz w:val="22"/>
          <w:szCs w:val="22"/>
        </w:rPr>
        <w:t>odavatel na sebe přebírá nebezpečí změny okolností.</w:t>
      </w:r>
    </w:p>
    <w:p w14:paraId="0C90551D" w14:textId="56C1EDD5" w:rsidR="00907514" w:rsidRPr="00D22838" w:rsidRDefault="00907514" w:rsidP="000940CF">
      <w:pPr>
        <w:pStyle w:val="Odstavecseseznamem"/>
        <w:widowControl w:val="0"/>
        <w:numPr>
          <w:ilvl w:val="0"/>
          <w:numId w:val="9"/>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Všechny </w:t>
      </w:r>
      <w:r w:rsidR="004B0547" w:rsidRPr="00D22838">
        <w:rPr>
          <w:rFonts w:ascii="Arial" w:hAnsi="Arial" w:cs="Arial"/>
          <w:sz w:val="22"/>
          <w:szCs w:val="22"/>
        </w:rPr>
        <w:t xml:space="preserve">služby </w:t>
      </w:r>
      <w:r w:rsidRPr="00D22838">
        <w:rPr>
          <w:rFonts w:ascii="Arial" w:hAnsi="Arial" w:cs="Arial"/>
          <w:sz w:val="22"/>
          <w:szCs w:val="22"/>
        </w:rPr>
        <w:t xml:space="preserve">musí být poskytnuty </w:t>
      </w:r>
      <w:r w:rsidR="007D072B" w:rsidRPr="00D22838">
        <w:rPr>
          <w:rFonts w:ascii="Arial" w:hAnsi="Arial" w:cs="Arial"/>
          <w:sz w:val="22"/>
          <w:szCs w:val="22"/>
        </w:rPr>
        <w:t>O</w:t>
      </w:r>
      <w:r w:rsidRPr="00D22838">
        <w:rPr>
          <w:rFonts w:ascii="Arial" w:hAnsi="Arial" w:cs="Arial"/>
          <w:sz w:val="22"/>
          <w:szCs w:val="22"/>
        </w:rPr>
        <w:t>bjednateli v požadovaném rozsah</w:t>
      </w:r>
      <w:r w:rsidR="007D072B" w:rsidRPr="00D22838">
        <w:rPr>
          <w:rFonts w:ascii="Arial" w:hAnsi="Arial" w:cs="Arial"/>
          <w:sz w:val="22"/>
          <w:szCs w:val="22"/>
        </w:rPr>
        <w:t>u, a to bez jakéhokoliv omezení.</w:t>
      </w:r>
      <w:r w:rsidRPr="00D22838">
        <w:rPr>
          <w:rFonts w:ascii="Arial" w:hAnsi="Arial" w:cs="Arial"/>
          <w:sz w:val="22"/>
          <w:szCs w:val="22"/>
        </w:rPr>
        <w:t xml:space="preserve"> </w:t>
      </w:r>
      <w:r w:rsidR="007D072B" w:rsidRPr="00D22838">
        <w:rPr>
          <w:rFonts w:ascii="Arial" w:hAnsi="Arial" w:cs="Arial"/>
          <w:sz w:val="22"/>
          <w:szCs w:val="22"/>
        </w:rPr>
        <w:t>D</w:t>
      </w:r>
      <w:r w:rsidRPr="00D22838">
        <w:rPr>
          <w:rFonts w:ascii="Arial" w:hAnsi="Arial" w:cs="Arial"/>
          <w:sz w:val="22"/>
          <w:szCs w:val="22"/>
        </w:rPr>
        <w:t xml:space="preserve">odavatel nebude oprávněn doúčtovat </w:t>
      </w:r>
      <w:r w:rsidR="007D072B" w:rsidRPr="00D22838">
        <w:rPr>
          <w:rFonts w:ascii="Arial" w:hAnsi="Arial" w:cs="Arial"/>
          <w:sz w:val="22"/>
          <w:szCs w:val="22"/>
        </w:rPr>
        <w:t>O</w:t>
      </w:r>
      <w:r w:rsidRPr="00D22838">
        <w:rPr>
          <w:rFonts w:ascii="Arial" w:hAnsi="Arial" w:cs="Arial"/>
          <w:sz w:val="22"/>
          <w:szCs w:val="22"/>
        </w:rPr>
        <w:t xml:space="preserve">bjednateli jakékoli dodatečné práce, služby či dodávky, které budou nezbytné pro řádné splnění dílčího předmětu </w:t>
      </w:r>
      <w:r w:rsidR="00EA5418" w:rsidRPr="00D22838">
        <w:rPr>
          <w:rFonts w:ascii="Arial" w:hAnsi="Arial" w:cs="Arial"/>
          <w:sz w:val="22"/>
          <w:szCs w:val="22"/>
        </w:rPr>
        <w:t>Dohod</w:t>
      </w:r>
      <w:r w:rsidRPr="00D22838">
        <w:rPr>
          <w:rFonts w:ascii="Arial" w:hAnsi="Arial" w:cs="Arial"/>
          <w:sz w:val="22"/>
          <w:szCs w:val="22"/>
        </w:rPr>
        <w:t xml:space="preserve">y, a to např. i z důvodu, že </w:t>
      </w:r>
      <w:r w:rsidR="007D072B" w:rsidRPr="00D22838">
        <w:rPr>
          <w:rFonts w:ascii="Arial" w:hAnsi="Arial" w:cs="Arial"/>
          <w:sz w:val="22"/>
          <w:szCs w:val="22"/>
        </w:rPr>
        <w:t>D</w:t>
      </w:r>
      <w:r w:rsidRPr="00D22838">
        <w:rPr>
          <w:rFonts w:ascii="Arial" w:hAnsi="Arial" w:cs="Arial"/>
          <w:sz w:val="22"/>
          <w:szCs w:val="22"/>
        </w:rPr>
        <w:t>odavatel chybně od</w:t>
      </w:r>
      <w:r w:rsidR="00483EB9" w:rsidRPr="00D22838">
        <w:rPr>
          <w:rFonts w:ascii="Arial" w:hAnsi="Arial" w:cs="Arial"/>
          <w:sz w:val="22"/>
          <w:szCs w:val="22"/>
        </w:rPr>
        <w:t>hadl nabídkovou (smluvní) cenu.</w:t>
      </w:r>
    </w:p>
    <w:p w14:paraId="181DDF87" w14:textId="23B3F378" w:rsidR="00907514" w:rsidRPr="00D22838" w:rsidRDefault="00907514" w:rsidP="000940CF">
      <w:pPr>
        <w:pStyle w:val="Odstavecseseznamem"/>
        <w:widowControl w:val="0"/>
        <w:numPr>
          <w:ilvl w:val="0"/>
          <w:numId w:val="9"/>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Veškeré činnosti je </w:t>
      </w:r>
      <w:r w:rsidR="009A24D7" w:rsidRPr="00D22838">
        <w:rPr>
          <w:rFonts w:ascii="Arial" w:hAnsi="Arial" w:cs="Arial"/>
          <w:sz w:val="22"/>
          <w:szCs w:val="22"/>
        </w:rPr>
        <w:t>D</w:t>
      </w:r>
      <w:r w:rsidRPr="00D22838">
        <w:rPr>
          <w:rFonts w:ascii="Arial" w:hAnsi="Arial" w:cs="Arial"/>
          <w:sz w:val="22"/>
          <w:szCs w:val="22"/>
        </w:rPr>
        <w:t>odavatel povinen provádět s náležitou péčí a odbornou způsobilostí. Všechn</w:t>
      </w:r>
      <w:r w:rsidR="00EC2FAF" w:rsidRPr="00D22838">
        <w:rPr>
          <w:rFonts w:ascii="Arial" w:hAnsi="Arial" w:cs="Arial"/>
          <w:sz w:val="22"/>
          <w:szCs w:val="22"/>
        </w:rPr>
        <w:t xml:space="preserve">a plnění </w:t>
      </w:r>
      <w:r w:rsidRPr="00D22838">
        <w:rPr>
          <w:rFonts w:ascii="Arial" w:hAnsi="Arial" w:cs="Arial"/>
          <w:sz w:val="22"/>
          <w:szCs w:val="22"/>
        </w:rPr>
        <w:t>musí být poskytnut</w:t>
      </w:r>
      <w:r w:rsidR="00EC2FAF" w:rsidRPr="00D22838">
        <w:rPr>
          <w:rFonts w:ascii="Arial" w:hAnsi="Arial" w:cs="Arial"/>
          <w:sz w:val="22"/>
          <w:szCs w:val="22"/>
        </w:rPr>
        <w:t>a</w:t>
      </w:r>
      <w:r w:rsidRPr="00D22838">
        <w:rPr>
          <w:rFonts w:ascii="Arial" w:hAnsi="Arial" w:cs="Arial"/>
          <w:sz w:val="22"/>
          <w:szCs w:val="22"/>
        </w:rPr>
        <w:t xml:space="preserve"> v požadovaném rozsahu, a to bez jakéhokoliv omezení.</w:t>
      </w:r>
      <w:r w:rsidR="004B5F56" w:rsidRPr="00D22838">
        <w:rPr>
          <w:rFonts w:ascii="Arial" w:hAnsi="Arial" w:cs="Arial"/>
          <w:sz w:val="22"/>
          <w:szCs w:val="22"/>
        </w:rPr>
        <w:t xml:space="preserve"> </w:t>
      </w:r>
      <w:r w:rsidR="004B0547" w:rsidRPr="00D22838">
        <w:rPr>
          <w:rFonts w:ascii="Arial" w:hAnsi="Arial" w:cs="Arial"/>
          <w:sz w:val="22"/>
          <w:szCs w:val="22"/>
        </w:rPr>
        <w:t xml:space="preserve">Dodavatel podpisem této </w:t>
      </w:r>
      <w:r w:rsidR="00EA5418" w:rsidRPr="00D22838">
        <w:rPr>
          <w:rFonts w:ascii="Arial" w:hAnsi="Arial" w:cs="Arial"/>
          <w:sz w:val="22"/>
          <w:szCs w:val="22"/>
        </w:rPr>
        <w:t>Dohody</w:t>
      </w:r>
      <w:r w:rsidR="004B0547" w:rsidRPr="00D22838">
        <w:rPr>
          <w:rFonts w:ascii="Arial" w:hAnsi="Arial" w:cs="Arial"/>
          <w:sz w:val="22"/>
          <w:szCs w:val="22"/>
        </w:rPr>
        <w:t xml:space="preserve"> deklaruje, že disponuje dostatečnou odbornou způsobilostí ke splnění dílčího i celého předmětu </w:t>
      </w:r>
      <w:r w:rsidR="00EA5418" w:rsidRPr="00D22838">
        <w:rPr>
          <w:rFonts w:ascii="Arial" w:hAnsi="Arial" w:cs="Arial"/>
          <w:sz w:val="22"/>
          <w:szCs w:val="22"/>
        </w:rPr>
        <w:t>Dohod</w:t>
      </w:r>
      <w:r w:rsidR="004B0547" w:rsidRPr="00D22838">
        <w:rPr>
          <w:rFonts w:ascii="Arial" w:hAnsi="Arial" w:cs="Arial"/>
          <w:sz w:val="22"/>
          <w:szCs w:val="22"/>
        </w:rPr>
        <w:t>y.</w:t>
      </w:r>
    </w:p>
    <w:p w14:paraId="1BE794BB" w14:textId="33DB65AD" w:rsidR="00907514" w:rsidRPr="00D22838" w:rsidRDefault="00C52857" w:rsidP="00266804">
      <w:pPr>
        <w:widowControl w:val="0"/>
        <w:autoSpaceDE w:val="0"/>
        <w:autoSpaceDN w:val="0"/>
        <w:adjustRightInd w:val="0"/>
        <w:spacing w:before="240"/>
        <w:jc w:val="center"/>
        <w:rPr>
          <w:rFonts w:ascii="Arial" w:hAnsi="Arial" w:cs="Arial"/>
          <w:b/>
          <w:sz w:val="22"/>
          <w:szCs w:val="22"/>
        </w:rPr>
      </w:pPr>
      <w:r>
        <w:rPr>
          <w:rFonts w:ascii="Arial" w:hAnsi="Arial" w:cs="Arial"/>
          <w:b/>
          <w:sz w:val="22"/>
          <w:szCs w:val="22"/>
        </w:rPr>
        <w:t>V</w:t>
      </w:r>
      <w:r w:rsidR="00E40B59" w:rsidRPr="00D22838">
        <w:rPr>
          <w:rFonts w:ascii="Arial" w:hAnsi="Arial" w:cs="Arial"/>
          <w:b/>
          <w:sz w:val="22"/>
          <w:szCs w:val="22"/>
        </w:rPr>
        <w:t>I</w:t>
      </w:r>
      <w:r w:rsidR="00907514" w:rsidRPr="00D22838">
        <w:rPr>
          <w:rFonts w:ascii="Arial" w:hAnsi="Arial" w:cs="Arial"/>
          <w:b/>
          <w:sz w:val="22"/>
          <w:szCs w:val="22"/>
        </w:rPr>
        <w:t>.</w:t>
      </w:r>
    </w:p>
    <w:p w14:paraId="1E4189A0" w14:textId="77777777" w:rsidR="00907514" w:rsidRPr="00D22838" w:rsidRDefault="00AE366C" w:rsidP="004E5398">
      <w:pPr>
        <w:widowControl w:val="0"/>
        <w:autoSpaceDE w:val="0"/>
        <w:autoSpaceDN w:val="0"/>
        <w:adjustRightInd w:val="0"/>
        <w:spacing w:after="120" w:line="240" w:lineRule="atLeast"/>
        <w:jc w:val="center"/>
        <w:rPr>
          <w:rFonts w:ascii="Arial" w:hAnsi="Arial" w:cs="Arial"/>
          <w:sz w:val="22"/>
          <w:szCs w:val="22"/>
        </w:rPr>
      </w:pPr>
      <w:r w:rsidRPr="00D22838">
        <w:rPr>
          <w:rFonts w:ascii="Arial" w:hAnsi="Arial" w:cs="Arial"/>
          <w:b/>
          <w:sz w:val="22"/>
          <w:szCs w:val="22"/>
          <w:u w:val="single"/>
        </w:rPr>
        <w:t>Mlčenlivost</w:t>
      </w:r>
    </w:p>
    <w:p w14:paraId="27A45315" w14:textId="51F30629" w:rsidR="00746556" w:rsidRDefault="00746556" w:rsidP="005F6E34">
      <w:pPr>
        <w:pStyle w:val="Odstavecseseznamem"/>
        <w:numPr>
          <w:ilvl w:val="1"/>
          <w:numId w:val="19"/>
        </w:numPr>
        <w:spacing w:after="120"/>
        <w:ind w:left="425" w:hanging="425"/>
        <w:jc w:val="both"/>
        <w:rPr>
          <w:rFonts w:ascii="Arial" w:hAnsi="Arial" w:cs="Arial"/>
          <w:sz w:val="22"/>
          <w:szCs w:val="22"/>
        </w:rPr>
      </w:pPr>
      <w:bookmarkStart w:id="0" w:name="_Ref19170206"/>
      <w:r w:rsidRPr="00D22838">
        <w:rPr>
          <w:rFonts w:ascii="Arial" w:hAnsi="Arial" w:cs="Arial"/>
          <w:sz w:val="22"/>
          <w:szCs w:val="22"/>
        </w:rPr>
        <w:t xml:space="preserve">Není-li dále stanoveno jinak, je Dodavatel povinen během plnění </w:t>
      </w:r>
      <w:r w:rsidR="002E40BD">
        <w:rPr>
          <w:rFonts w:ascii="Arial" w:hAnsi="Arial" w:cs="Arial"/>
          <w:sz w:val="22"/>
          <w:szCs w:val="22"/>
        </w:rPr>
        <w:t>Dohody</w:t>
      </w:r>
      <w:r w:rsidRPr="00D22838">
        <w:rPr>
          <w:rFonts w:ascii="Arial" w:hAnsi="Arial" w:cs="Arial"/>
          <w:sz w:val="22"/>
          <w:szCs w:val="22"/>
        </w:rPr>
        <w:t xml:space="preserve"> i po uplynutí doby, na kterou je </w:t>
      </w:r>
      <w:r w:rsidR="00E07A27">
        <w:rPr>
          <w:rFonts w:ascii="Arial" w:hAnsi="Arial" w:cs="Arial"/>
          <w:sz w:val="22"/>
          <w:szCs w:val="22"/>
        </w:rPr>
        <w:t>Dohoda</w:t>
      </w:r>
      <w:r w:rsidR="00E07A27" w:rsidRPr="00D22838">
        <w:rPr>
          <w:rFonts w:ascii="Arial" w:hAnsi="Arial" w:cs="Arial"/>
          <w:sz w:val="22"/>
          <w:szCs w:val="22"/>
        </w:rPr>
        <w:t xml:space="preserve"> </w:t>
      </w:r>
      <w:r w:rsidRPr="00D22838">
        <w:rPr>
          <w:rFonts w:ascii="Arial" w:hAnsi="Arial" w:cs="Arial"/>
          <w:sz w:val="22"/>
          <w:szCs w:val="22"/>
        </w:rPr>
        <w:t xml:space="preserve">uzavřena, zachovávat mlčenlivost o všech skutečnostech, o kterých se dozví od Objednatele v souvislosti s jejím plněním. Této povinnosti může Dodavatele zprostit pouze Objednatel. Zproštění povinnosti mlčenlivosti musí být učiněno písemně. Výše </w:t>
      </w:r>
      <w:r w:rsidRPr="00D22838">
        <w:rPr>
          <w:rFonts w:ascii="Arial" w:hAnsi="Arial" w:cs="Arial"/>
          <w:sz w:val="22"/>
          <w:szCs w:val="22"/>
        </w:rPr>
        <w:lastRenderedPageBreak/>
        <w:t xml:space="preserve">uvedenou povinností mlčenlivosti není dotčena možnost Dodavatele uvádět činnost dle </w:t>
      </w:r>
      <w:r w:rsidR="002E40BD">
        <w:rPr>
          <w:rFonts w:ascii="Arial" w:hAnsi="Arial" w:cs="Arial"/>
          <w:sz w:val="22"/>
          <w:szCs w:val="22"/>
        </w:rPr>
        <w:t>Dohody</w:t>
      </w:r>
      <w:r w:rsidRPr="00D22838">
        <w:rPr>
          <w:rFonts w:ascii="Arial" w:hAnsi="Arial" w:cs="Arial"/>
          <w:sz w:val="22"/>
          <w:szCs w:val="22"/>
        </w:rPr>
        <w:t xml:space="preserve"> jako svou referenci ve svých nabídkách v zákonem stanoveném rozsahu, popřípadě rozsahu stanoveném Objednatelem</w:t>
      </w:r>
      <w:bookmarkEnd w:id="0"/>
      <w:r w:rsidR="00FE333F">
        <w:rPr>
          <w:rFonts w:ascii="Arial" w:hAnsi="Arial" w:cs="Arial"/>
          <w:sz w:val="22"/>
          <w:szCs w:val="22"/>
        </w:rPr>
        <w:t>.</w:t>
      </w:r>
    </w:p>
    <w:p w14:paraId="06B056E0" w14:textId="77777777" w:rsidR="00FE333F" w:rsidRPr="00D22838" w:rsidRDefault="00FE333F" w:rsidP="00FE333F">
      <w:pPr>
        <w:pStyle w:val="Odstavecseseznamem"/>
        <w:spacing w:before="240" w:after="200" w:line="276" w:lineRule="auto"/>
        <w:ind w:left="426"/>
        <w:jc w:val="both"/>
        <w:rPr>
          <w:rFonts w:ascii="Arial" w:hAnsi="Arial" w:cs="Arial"/>
          <w:sz w:val="22"/>
          <w:szCs w:val="22"/>
        </w:rPr>
      </w:pPr>
    </w:p>
    <w:p w14:paraId="66140F2A" w14:textId="74BC02A0" w:rsidR="00746556" w:rsidRDefault="00746556" w:rsidP="005F6E34">
      <w:pPr>
        <w:pStyle w:val="Odstavecseseznamem"/>
        <w:numPr>
          <w:ilvl w:val="1"/>
          <w:numId w:val="19"/>
        </w:numPr>
        <w:spacing w:after="120"/>
        <w:ind w:left="425" w:hanging="425"/>
        <w:jc w:val="both"/>
        <w:rPr>
          <w:rFonts w:ascii="Arial" w:hAnsi="Arial" w:cs="Arial"/>
          <w:sz w:val="22"/>
          <w:szCs w:val="22"/>
        </w:rPr>
      </w:pPr>
      <w:bookmarkStart w:id="1" w:name="_Ref19170238"/>
      <w:r w:rsidRPr="00D22838">
        <w:rPr>
          <w:rFonts w:ascii="Arial" w:hAnsi="Arial" w:cs="Arial"/>
          <w:sz w:val="22"/>
          <w:szCs w:val="22"/>
        </w:rPr>
        <w:t xml:space="preserve">Dodavatel se zavazuje, že pokud v souvislosti s realizací </w:t>
      </w:r>
      <w:r w:rsidR="00F65539">
        <w:rPr>
          <w:rFonts w:ascii="Arial" w:hAnsi="Arial" w:cs="Arial"/>
          <w:sz w:val="22"/>
          <w:szCs w:val="22"/>
        </w:rPr>
        <w:t>Dohody</w:t>
      </w:r>
      <w:r w:rsidRPr="00D22838">
        <w:rPr>
          <w:rFonts w:ascii="Arial" w:hAnsi="Arial" w:cs="Arial"/>
          <w:sz w:val="22"/>
          <w:szCs w:val="22"/>
        </w:rPr>
        <w:t xml:space="preserve"> přijde on, jeho pověření zaměstnanci nebo osoby, které pověřil prováděním povinností dle </w:t>
      </w:r>
      <w:r w:rsidR="00F65539">
        <w:rPr>
          <w:rFonts w:ascii="Arial" w:hAnsi="Arial" w:cs="Arial"/>
          <w:sz w:val="22"/>
          <w:szCs w:val="22"/>
        </w:rPr>
        <w:t>Dohody</w:t>
      </w:r>
      <w:r w:rsidRPr="00D22838">
        <w:rPr>
          <w:rFonts w:ascii="Arial" w:hAnsi="Arial" w:cs="Arial"/>
          <w:sz w:val="22"/>
          <w:szCs w:val="22"/>
        </w:rPr>
        <w:t xml:space="preserve"> do styku s osobními nebo citlivými údaji ve smyslu Nařízení Evropského parlamentu a Rady (EU) 2016/679 o ochraně fyzických osob v souvislosti se zpracováním osobních údajů a o volném pohybu těchto údajů a o zrušení směrnice 95/46/ES (obecné nařízení o ochraně osobních údajů) - GDPR a zákona č. 110/2019 Sb., o zpracování osobních údajů, ve znění pozdějších předpisů (dále jen “Předpisy o OOÚ”), učiní veškerá opatření, aby nedošlo k neoprávněnému nebo nahodilému přístupu k těmto údajům, k jejich změně, zničení či ztrátě, neoprávněným přenosům, k jejich jinému neoprávněnému zpracování, jakož aby i jinak neporušil Předpisy o OOÚ. Dodavatel je povinen zachovávat mlčenlivost o osobních údajích a o bezpečnostních opatřeních, jejichž zveřejnění by ohrozilo zabezpečení osobních údajů. Povinnost mlčenlivosti trvá i po ukončení </w:t>
      </w:r>
      <w:r w:rsidR="00B74D8C">
        <w:rPr>
          <w:rFonts w:ascii="Arial" w:hAnsi="Arial" w:cs="Arial"/>
          <w:sz w:val="22"/>
          <w:szCs w:val="22"/>
        </w:rPr>
        <w:t>Dohody</w:t>
      </w:r>
      <w:r w:rsidRPr="00D22838">
        <w:rPr>
          <w:rFonts w:ascii="Arial" w:hAnsi="Arial" w:cs="Arial"/>
          <w:sz w:val="22"/>
          <w:szCs w:val="22"/>
        </w:rPr>
        <w:t>.</w:t>
      </w:r>
      <w:bookmarkEnd w:id="1"/>
    </w:p>
    <w:p w14:paraId="6B5DFE5F" w14:textId="77777777" w:rsidR="00FE333F" w:rsidRPr="00FE333F" w:rsidRDefault="00FE333F" w:rsidP="00FE333F">
      <w:pPr>
        <w:pStyle w:val="Odstavecseseznamem"/>
        <w:rPr>
          <w:rFonts w:ascii="Arial" w:hAnsi="Arial" w:cs="Arial"/>
          <w:sz w:val="22"/>
          <w:szCs w:val="22"/>
        </w:rPr>
      </w:pPr>
    </w:p>
    <w:p w14:paraId="2A96A37D" w14:textId="64FA730B" w:rsidR="00746556" w:rsidRPr="00D22838" w:rsidRDefault="00746556" w:rsidP="005F6E34">
      <w:pPr>
        <w:pStyle w:val="Odstavecseseznamem"/>
        <w:numPr>
          <w:ilvl w:val="1"/>
          <w:numId w:val="19"/>
        </w:numPr>
        <w:spacing w:after="120"/>
        <w:ind w:left="426" w:hanging="426"/>
        <w:jc w:val="both"/>
        <w:rPr>
          <w:rFonts w:ascii="Arial" w:hAnsi="Arial" w:cs="Arial"/>
          <w:sz w:val="22"/>
          <w:szCs w:val="22"/>
        </w:rPr>
      </w:pPr>
      <w:r w:rsidRPr="00D22838">
        <w:rPr>
          <w:rFonts w:ascii="Arial" w:hAnsi="Arial" w:cs="Arial"/>
          <w:sz w:val="22"/>
          <w:szCs w:val="22"/>
        </w:rPr>
        <w:t xml:space="preserve">Povinnost mlčenlivosti a závazek k ochraně informací dle čl. </w:t>
      </w:r>
      <w:r w:rsidR="00246C9A" w:rsidRPr="00D22838">
        <w:rPr>
          <w:rFonts w:ascii="Arial" w:hAnsi="Arial" w:cs="Arial"/>
          <w:sz w:val="22"/>
          <w:szCs w:val="22"/>
        </w:rPr>
        <w:t>VI</w:t>
      </w:r>
      <w:r w:rsidRPr="00D22838">
        <w:rPr>
          <w:rFonts w:ascii="Arial" w:hAnsi="Arial" w:cs="Arial"/>
          <w:sz w:val="22"/>
          <w:szCs w:val="22"/>
        </w:rPr>
        <w:t xml:space="preserve">. odst. 1 a odst. 2 </w:t>
      </w:r>
      <w:r w:rsidR="00A652D5">
        <w:rPr>
          <w:rFonts w:ascii="Arial" w:hAnsi="Arial" w:cs="Arial"/>
          <w:sz w:val="22"/>
          <w:szCs w:val="22"/>
        </w:rPr>
        <w:t>Dohody</w:t>
      </w:r>
      <w:r w:rsidRPr="00D22838">
        <w:rPr>
          <w:rFonts w:ascii="Arial" w:hAnsi="Arial" w:cs="Arial"/>
          <w:sz w:val="22"/>
          <w:szCs w:val="22"/>
        </w:rPr>
        <w:t xml:space="preserve"> se nevztahuje na:</w:t>
      </w:r>
    </w:p>
    <w:p w14:paraId="700AB518" w14:textId="4380D865" w:rsidR="00746556" w:rsidRPr="00D22838" w:rsidRDefault="00746556" w:rsidP="005F6E34">
      <w:pPr>
        <w:pStyle w:val="Odstavecseseznamem"/>
        <w:widowControl w:val="0"/>
        <w:numPr>
          <w:ilvl w:val="0"/>
          <w:numId w:val="20"/>
        </w:numPr>
        <w:autoSpaceDE w:val="0"/>
        <w:autoSpaceDN w:val="0"/>
        <w:adjustRightInd w:val="0"/>
        <w:spacing w:after="120"/>
        <w:ind w:left="567" w:firstLine="0"/>
        <w:jc w:val="both"/>
        <w:rPr>
          <w:rFonts w:ascii="Arial" w:hAnsi="Arial" w:cs="Arial"/>
          <w:sz w:val="22"/>
          <w:szCs w:val="22"/>
        </w:rPr>
      </w:pPr>
      <w:r w:rsidRPr="00D22838">
        <w:rPr>
          <w:rFonts w:ascii="Arial" w:hAnsi="Arial" w:cs="Arial"/>
          <w:sz w:val="22"/>
          <w:szCs w:val="22"/>
        </w:rPr>
        <w:t xml:space="preserve">informace, které se staly veřejně přístupnými, pokud se tak nestalo porušením </w:t>
      </w:r>
      <w:r w:rsidR="009B70EC" w:rsidRPr="00D22838">
        <w:rPr>
          <w:rFonts w:ascii="Arial" w:hAnsi="Arial" w:cs="Arial"/>
          <w:sz w:val="22"/>
          <w:szCs w:val="22"/>
        </w:rPr>
        <w:tab/>
      </w:r>
      <w:r w:rsidR="009B70EC" w:rsidRPr="00D22838">
        <w:rPr>
          <w:rFonts w:ascii="Arial" w:hAnsi="Arial" w:cs="Arial"/>
          <w:sz w:val="22"/>
          <w:szCs w:val="22"/>
        </w:rPr>
        <w:tab/>
      </w:r>
      <w:r w:rsidR="009B70EC" w:rsidRPr="00D22838">
        <w:rPr>
          <w:rFonts w:ascii="Arial" w:hAnsi="Arial" w:cs="Arial"/>
          <w:sz w:val="22"/>
          <w:szCs w:val="22"/>
        </w:rPr>
        <w:tab/>
      </w:r>
      <w:r w:rsidRPr="00D22838">
        <w:rPr>
          <w:rFonts w:ascii="Arial" w:hAnsi="Arial" w:cs="Arial"/>
          <w:sz w:val="22"/>
          <w:szCs w:val="22"/>
        </w:rPr>
        <w:t>povinnosti jejich ochrany,</w:t>
      </w:r>
    </w:p>
    <w:p w14:paraId="65D24CE2" w14:textId="26EAA5F9" w:rsidR="00746556" w:rsidRPr="00D22838" w:rsidRDefault="00746556" w:rsidP="005F6E34">
      <w:pPr>
        <w:pStyle w:val="Odstavecseseznamem"/>
        <w:widowControl w:val="0"/>
        <w:numPr>
          <w:ilvl w:val="0"/>
          <w:numId w:val="20"/>
        </w:numPr>
        <w:autoSpaceDE w:val="0"/>
        <w:autoSpaceDN w:val="0"/>
        <w:adjustRightInd w:val="0"/>
        <w:spacing w:after="120"/>
        <w:ind w:hanging="861"/>
        <w:jc w:val="both"/>
        <w:rPr>
          <w:rFonts w:ascii="Arial" w:hAnsi="Arial" w:cs="Arial"/>
          <w:sz w:val="22"/>
          <w:szCs w:val="22"/>
        </w:rPr>
      </w:pPr>
      <w:r w:rsidRPr="00D22838">
        <w:rPr>
          <w:rFonts w:ascii="Arial" w:hAnsi="Arial" w:cs="Arial"/>
          <w:sz w:val="22"/>
          <w:szCs w:val="22"/>
        </w:rPr>
        <w:t xml:space="preserve">informace získané na základě postupu nezávislého na </w:t>
      </w:r>
      <w:r w:rsidR="00E07A27">
        <w:rPr>
          <w:rFonts w:ascii="Arial" w:hAnsi="Arial" w:cs="Arial"/>
          <w:sz w:val="22"/>
          <w:szCs w:val="22"/>
        </w:rPr>
        <w:t>Dohodě</w:t>
      </w:r>
      <w:r w:rsidR="00E07A27" w:rsidRPr="00D22838">
        <w:rPr>
          <w:rFonts w:ascii="Arial" w:hAnsi="Arial" w:cs="Arial"/>
          <w:sz w:val="22"/>
          <w:szCs w:val="22"/>
        </w:rPr>
        <w:t xml:space="preserve"> </w:t>
      </w:r>
      <w:r w:rsidRPr="00D22838">
        <w:rPr>
          <w:rFonts w:ascii="Arial" w:hAnsi="Arial" w:cs="Arial"/>
          <w:sz w:val="22"/>
          <w:szCs w:val="22"/>
        </w:rPr>
        <w:t>nebo druhé Smluvní straně, pokud je Dodavatel schopen tuto skutečnost doložit,</w:t>
      </w:r>
    </w:p>
    <w:p w14:paraId="4FDC5AFC" w14:textId="1389DC02" w:rsidR="00746556" w:rsidRPr="00D22838" w:rsidRDefault="00746556" w:rsidP="005F6E34">
      <w:pPr>
        <w:pStyle w:val="Odstavecseseznamem"/>
        <w:widowControl w:val="0"/>
        <w:numPr>
          <w:ilvl w:val="0"/>
          <w:numId w:val="20"/>
        </w:numPr>
        <w:autoSpaceDE w:val="0"/>
        <w:autoSpaceDN w:val="0"/>
        <w:adjustRightInd w:val="0"/>
        <w:spacing w:after="120"/>
        <w:ind w:hanging="861"/>
        <w:jc w:val="both"/>
        <w:rPr>
          <w:rFonts w:ascii="Arial" w:hAnsi="Arial" w:cs="Arial"/>
          <w:sz w:val="22"/>
          <w:szCs w:val="22"/>
        </w:rPr>
      </w:pPr>
      <w:r w:rsidRPr="00D22838">
        <w:rPr>
          <w:rFonts w:ascii="Arial" w:hAnsi="Arial" w:cs="Arial"/>
          <w:sz w:val="22"/>
          <w:szCs w:val="22"/>
        </w:rPr>
        <w:t>informace poskytnuté třetí osobou, která takové informace nezískala porušením povinnosti jejich ochrany a</w:t>
      </w:r>
    </w:p>
    <w:p w14:paraId="539B4A11" w14:textId="0FEF9F2C" w:rsidR="00746556" w:rsidRDefault="00746556" w:rsidP="005F6E34">
      <w:pPr>
        <w:pStyle w:val="Odstavecseseznamem"/>
        <w:widowControl w:val="0"/>
        <w:numPr>
          <w:ilvl w:val="0"/>
          <w:numId w:val="20"/>
        </w:numPr>
        <w:autoSpaceDE w:val="0"/>
        <w:autoSpaceDN w:val="0"/>
        <w:adjustRightInd w:val="0"/>
        <w:spacing w:after="120"/>
        <w:ind w:left="567" w:firstLine="0"/>
        <w:jc w:val="both"/>
        <w:rPr>
          <w:rFonts w:ascii="Arial" w:hAnsi="Arial" w:cs="Arial"/>
          <w:sz w:val="22"/>
          <w:szCs w:val="22"/>
        </w:rPr>
      </w:pPr>
      <w:r w:rsidRPr="00D22838">
        <w:rPr>
          <w:rFonts w:ascii="Arial" w:hAnsi="Arial" w:cs="Arial"/>
          <w:sz w:val="22"/>
          <w:szCs w:val="22"/>
        </w:rPr>
        <w:t>informace, u kterých povinnost jejich zpřístupnění ukládá právní předpis.</w:t>
      </w:r>
    </w:p>
    <w:p w14:paraId="76BA0B29" w14:textId="77777777" w:rsidR="00FE333F" w:rsidRDefault="00FE333F" w:rsidP="005F6E34">
      <w:pPr>
        <w:pStyle w:val="Odstavecseseznamem"/>
        <w:widowControl w:val="0"/>
        <w:autoSpaceDE w:val="0"/>
        <w:autoSpaceDN w:val="0"/>
        <w:adjustRightInd w:val="0"/>
        <w:spacing w:after="120"/>
        <w:ind w:left="567"/>
        <w:jc w:val="both"/>
        <w:rPr>
          <w:rFonts w:ascii="Arial" w:hAnsi="Arial" w:cs="Arial"/>
          <w:sz w:val="22"/>
          <w:szCs w:val="22"/>
        </w:rPr>
      </w:pPr>
    </w:p>
    <w:p w14:paraId="16C9A0F2" w14:textId="7559493D" w:rsidR="00FF067A" w:rsidRDefault="00746556" w:rsidP="00950924">
      <w:pPr>
        <w:pStyle w:val="Odstavecseseznamem"/>
        <w:numPr>
          <w:ilvl w:val="1"/>
          <w:numId w:val="19"/>
        </w:numPr>
        <w:spacing w:after="120"/>
        <w:ind w:left="426" w:hanging="426"/>
        <w:jc w:val="both"/>
        <w:rPr>
          <w:rFonts w:ascii="Arial" w:hAnsi="Arial" w:cs="Arial"/>
          <w:sz w:val="22"/>
          <w:szCs w:val="22"/>
        </w:rPr>
      </w:pPr>
      <w:r w:rsidRPr="00D22838">
        <w:rPr>
          <w:rFonts w:ascii="Arial" w:hAnsi="Arial" w:cs="Arial"/>
          <w:sz w:val="22"/>
          <w:szCs w:val="22"/>
        </w:rPr>
        <w:t>Dodavatel se zavazuje uhradit Objednateli či třetí straně, kterou porušením svých povinnosti mlčenlivosti poškodí, veškeré škody tímto porušením způsobené. Povinnosti Dodavatele vyplývající z ustanovení příslušných právních Předpisů o OOÚ nejsou ustanoveními tohoto článku dotčeny.</w:t>
      </w:r>
    </w:p>
    <w:p w14:paraId="7D5BB0B4" w14:textId="77777777" w:rsidR="00950924" w:rsidRPr="00950924" w:rsidRDefault="00950924" w:rsidP="00950924">
      <w:pPr>
        <w:pStyle w:val="Odstavecseseznamem"/>
        <w:spacing w:after="120"/>
        <w:ind w:left="426"/>
        <w:jc w:val="both"/>
        <w:rPr>
          <w:rFonts w:ascii="Arial" w:hAnsi="Arial" w:cs="Arial"/>
          <w:sz w:val="22"/>
          <w:szCs w:val="22"/>
        </w:rPr>
      </w:pPr>
    </w:p>
    <w:p w14:paraId="072F769F" w14:textId="35C76917" w:rsidR="00C70F3E" w:rsidRPr="00D22838" w:rsidRDefault="00C52857" w:rsidP="00C70F3E">
      <w:pPr>
        <w:pStyle w:val="Odstavecseseznamem"/>
        <w:widowControl w:val="0"/>
        <w:autoSpaceDE w:val="0"/>
        <w:autoSpaceDN w:val="0"/>
        <w:adjustRightInd w:val="0"/>
        <w:spacing w:before="240"/>
        <w:ind w:left="360"/>
        <w:jc w:val="center"/>
        <w:rPr>
          <w:rFonts w:ascii="Arial" w:hAnsi="Arial" w:cs="Arial"/>
          <w:b/>
          <w:sz w:val="22"/>
          <w:szCs w:val="22"/>
        </w:rPr>
      </w:pPr>
      <w:r>
        <w:rPr>
          <w:rFonts w:ascii="Arial" w:hAnsi="Arial" w:cs="Arial"/>
          <w:b/>
          <w:sz w:val="22"/>
          <w:szCs w:val="22"/>
        </w:rPr>
        <w:t>VII</w:t>
      </w:r>
      <w:r w:rsidR="00C70F3E" w:rsidRPr="00D22838">
        <w:rPr>
          <w:rFonts w:ascii="Arial" w:hAnsi="Arial" w:cs="Arial"/>
          <w:b/>
          <w:sz w:val="22"/>
          <w:szCs w:val="22"/>
        </w:rPr>
        <w:t>.</w:t>
      </w:r>
    </w:p>
    <w:p w14:paraId="42E66F6E" w14:textId="77777777" w:rsidR="00C70F3E" w:rsidRPr="00D22838" w:rsidRDefault="00C70F3E" w:rsidP="00C70F3E">
      <w:pPr>
        <w:pStyle w:val="Odstavecseseznamem"/>
        <w:widowControl w:val="0"/>
        <w:autoSpaceDE w:val="0"/>
        <w:autoSpaceDN w:val="0"/>
        <w:adjustRightInd w:val="0"/>
        <w:spacing w:after="120" w:line="240" w:lineRule="atLeast"/>
        <w:ind w:left="360"/>
        <w:jc w:val="center"/>
        <w:rPr>
          <w:rFonts w:ascii="Arial" w:hAnsi="Arial" w:cs="Arial"/>
          <w:sz w:val="22"/>
          <w:szCs w:val="22"/>
        </w:rPr>
      </w:pPr>
      <w:r w:rsidRPr="00D22838">
        <w:rPr>
          <w:rFonts w:ascii="Arial" w:hAnsi="Arial" w:cs="Arial"/>
          <w:b/>
          <w:sz w:val="22"/>
          <w:szCs w:val="22"/>
          <w:u w:val="single"/>
        </w:rPr>
        <w:t>Sankční ujednání</w:t>
      </w:r>
    </w:p>
    <w:p w14:paraId="4F437406" w14:textId="76D2EA9D" w:rsidR="00AE366C" w:rsidRPr="00D22838" w:rsidRDefault="00AE366C" w:rsidP="00370B2F">
      <w:pPr>
        <w:pStyle w:val="Odstavecseseznamem"/>
        <w:widowControl w:val="0"/>
        <w:numPr>
          <w:ilvl w:val="0"/>
          <w:numId w:val="1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V případě, že </w:t>
      </w:r>
      <w:r w:rsidR="009A24D7" w:rsidRPr="00D22838">
        <w:rPr>
          <w:rFonts w:ascii="Arial" w:hAnsi="Arial" w:cs="Arial"/>
          <w:sz w:val="22"/>
          <w:szCs w:val="22"/>
        </w:rPr>
        <w:t>O</w:t>
      </w:r>
      <w:r w:rsidRPr="00D22838">
        <w:rPr>
          <w:rFonts w:ascii="Arial" w:hAnsi="Arial" w:cs="Arial"/>
          <w:sz w:val="22"/>
          <w:szCs w:val="22"/>
        </w:rPr>
        <w:t xml:space="preserve">bjednatel bude v prodlení se zaplacením oprávněně vystavené faktury </w:t>
      </w:r>
      <w:r w:rsidR="009A24D7" w:rsidRPr="00D22838">
        <w:rPr>
          <w:rFonts w:ascii="Arial" w:hAnsi="Arial" w:cs="Arial"/>
          <w:sz w:val="22"/>
          <w:szCs w:val="22"/>
        </w:rPr>
        <w:t>D</w:t>
      </w:r>
      <w:r w:rsidRPr="00D22838">
        <w:rPr>
          <w:rFonts w:ascii="Arial" w:hAnsi="Arial" w:cs="Arial"/>
          <w:sz w:val="22"/>
          <w:szCs w:val="22"/>
        </w:rPr>
        <w:t xml:space="preserve">odavateli, je </w:t>
      </w:r>
      <w:r w:rsidR="009A24D7" w:rsidRPr="00D22838">
        <w:rPr>
          <w:rFonts w:ascii="Arial" w:hAnsi="Arial" w:cs="Arial"/>
          <w:sz w:val="22"/>
          <w:szCs w:val="22"/>
        </w:rPr>
        <w:t>O</w:t>
      </w:r>
      <w:r w:rsidRPr="00D22838">
        <w:rPr>
          <w:rFonts w:ascii="Arial" w:hAnsi="Arial" w:cs="Arial"/>
          <w:sz w:val="22"/>
          <w:szCs w:val="22"/>
        </w:rPr>
        <w:t xml:space="preserve">bjednatel povinen zaplatit </w:t>
      </w:r>
      <w:r w:rsidR="009A24D7" w:rsidRPr="00D22838">
        <w:rPr>
          <w:rFonts w:ascii="Arial" w:hAnsi="Arial" w:cs="Arial"/>
          <w:sz w:val="22"/>
          <w:szCs w:val="22"/>
        </w:rPr>
        <w:t>D</w:t>
      </w:r>
      <w:r w:rsidRPr="00D22838">
        <w:rPr>
          <w:rFonts w:ascii="Arial" w:hAnsi="Arial" w:cs="Arial"/>
          <w:sz w:val="22"/>
          <w:szCs w:val="22"/>
        </w:rPr>
        <w:t>odavateli úrok z prodlení v zákonné výši.</w:t>
      </w:r>
    </w:p>
    <w:p w14:paraId="07AEA14F" w14:textId="68267BA7" w:rsidR="0084464C" w:rsidRPr="00D22838" w:rsidRDefault="00FE333F" w:rsidP="00370B2F">
      <w:pPr>
        <w:pStyle w:val="Odstavecseseznamem"/>
        <w:widowControl w:val="0"/>
        <w:numPr>
          <w:ilvl w:val="0"/>
          <w:numId w:val="16"/>
        </w:numPr>
        <w:autoSpaceDE w:val="0"/>
        <w:autoSpaceDN w:val="0"/>
        <w:adjustRightInd w:val="0"/>
        <w:spacing w:before="240" w:after="120"/>
        <w:contextualSpacing w:val="0"/>
        <w:jc w:val="both"/>
        <w:rPr>
          <w:rFonts w:ascii="Arial" w:hAnsi="Arial" w:cs="Arial"/>
          <w:sz w:val="22"/>
          <w:szCs w:val="22"/>
        </w:rPr>
      </w:pPr>
      <w:r>
        <w:rPr>
          <w:rFonts w:ascii="Arial" w:hAnsi="Arial" w:cs="Arial"/>
          <w:sz w:val="22"/>
          <w:szCs w:val="22"/>
        </w:rPr>
        <w:t>V případě</w:t>
      </w:r>
      <w:r w:rsidR="00167696" w:rsidRPr="00D22838">
        <w:rPr>
          <w:rFonts w:ascii="Arial" w:hAnsi="Arial" w:cs="Arial"/>
          <w:sz w:val="22"/>
          <w:szCs w:val="22"/>
        </w:rPr>
        <w:t xml:space="preserve"> </w:t>
      </w:r>
      <w:r w:rsidR="00CA41D4">
        <w:rPr>
          <w:rFonts w:ascii="Arial" w:hAnsi="Arial" w:cs="Arial"/>
          <w:sz w:val="22"/>
          <w:szCs w:val="22"/>
        </w:rPr>
        <w:t xml:space="preserve">překročení </w:t>
      </w:r>
      <w:r w:rsidR="00C14997">
        <w:rPr>
          <w:rFonts w:ascii="Arial" w:hAnsi="Arial" w:cs="Arial"/>
          <w:sz w:val="22"/>
          <w:szCs w:val="22"/>
        </w:rPr>
        <w:t xml:space="preserve">Havarijní pohotovosti uvedené v čl. I a specifikované v Příloze č. 1 Dohody </w:t>
      </w:r>
      <w:r w:rsidR="0084464C" w:rsidRPr="00D22838">
        <w:rPr>
          <w:rFonts w:ascii="Arial" w:hAnsi="Arial" w:cs="Arial"/>
          <w:sz w:val="22"/>
          <w:szCs w:val="22"/>
        </w:rPr>
        <w:t xml:space="preserve">bude Dodavateli účtována smluvní pokuta ve výši </w:t>
      </w:r>
      <w:r w:rsidR="00C14997">
        <w:rPr>
          <w:rFonts w:ascii="Arial" w:hAnsi="Arial" w:cs="Arial"/>
          <w:sz w:val="22"/>
          <w:szCs w:val="22"/>
        </w:rPr>
        <w:t>10</w:t>
      </w:r>
      <w:r w:rsidR="0084464C" w:rsidRPr="00D22838">
        <w:rPr>
          <w:rFonts w:ascii="Arial" w:hAnsi="Arial" w:cs="Arial"/>
          <w:sz w:val="22"/>
          <w:szCs w:val="22"/>
        </w:rPr>
        <w:t>0 000,- Kč bez DPH za každých započatých 8 hodin prodlení.</w:t>
      </w:r>
    </w:p>
    <w:p w14:paraId="69C6E12B" w14:textId="7C429307" w:rsidR="00F870CC" w:rsidRPr="00D22838" w:rsidRDefault="00AE366C" w:rsidP="00370B2F">
      <w:pPr>
        <w:pStyle w:val="Odstavecseseznamem"/>
        <w:widowControl w:val="0"/>
        <w:numPr>
          <w:ilvl w:val="0"/>
          <w:numId w:val="1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Za porušení p</w:t>
      </w:r>
      <w:r w:rsidR="0081380D" w:rsidRPr="00D22838">
        <w:rPr>
          <w:rFonts w:ascii="Arial" w:hAnsi="Arial" w:cs="Arial"/>
          <w:sz w:val="22"/>
          <w:szCs w:val="22"/>
        </w:rPr>
        <w:t>ovinnosti mlčenlivosti dle čl. VI</w:t>
      </w:r>
      <w:r w:rsidRPr="00D22838">
        <w:rPr>
          <w:rFonts w:ascii="Arial" w:hAnsi="Arial" w:cs="Arial"/>
          <w:sz w:val="22"/>
          <w:szCs w:val="22"/>
        </w:rPr>
        <w:t>.</w:t>
      </w:r>
      <w:r w:rsidR="004B0547" w:rsidRPr="00D22838">
        <w:rPr>
          <w:rFonts w:ascii="Arial" w:hAnsi="Arial" w:cs="Arial"/>
          <w:sz w:val="22"/>
          <w:szCs w:val="22"/>
        </w:rPr>
        <w:t xml:space="preserve"> odst. </w:t>
      </w:r>
      <w:r w:rsidRPr="00D22838">
        <w:rPr>
          <w:rFonts w:ascii="Arial" w:hAnsi="Arial" w:cs="Arial"/>
          <w:sz w:val="22"/>
          <w:szCs w:val="22"/>
        </w:rPr>
        <w:t xml:space="preserve">1 </w:t>
      </w:r>
      <w:r w:rsidR="00EA5418" w:rsidRPr="00D22838">
        <w:rPr>
          <w:rFonts w:ascii="Arial" w:hAnsi="Arial" w:cs="Arial"/>
          <w:sz w:val="22"/>
          <w:szCs w:val="22"/>
        </w:rPr>
        <w:t>Dohod</w:t>
      </w:r>
      <w:r w:rsidRPr="00D22838">
        <w:rPr>
          <w:rFonts w:ascii="Arial" w:hAnsi="Arial" w:cs="Arial"/>
          <w:sz w:val="22"/>
          <w:szCs w:val="22"/>
        </w:rPr>
        <w:t xml:space="preserve">y se </w:t>
      </w:r>
      <w:r w:rsidR="00C52211" w:rsidRPr="00D22838">
        <w:rPr>
          <w:rFonts w:ascii="Arial" w:hAnsi="Arial" w:cs="Arial"/>
          <w:sz w:val="22"/>
          <w:szCs w:val="22"/>
        </w:rPr>
        <w:t>D</w:t>
      </w:r>
      <w:r w:rsidRPr="00D22838">
        <w:rPr>
          <w:rFonts w:ascii="Arial" w:hAnsi="Arial" w:cs="Arial"/>
          <w:sz w:val="22"/>
          <w:szCs w:val="22"/>
        </w:rPr>
        <w:t xml:space="preserve">odavatel zavazuje zaplatit </w:t>
      </w:r>
      <w:r w:rsidR="00C52211" w:rsidRPr="00D22838">
        <w:rPr>
          <w:rFonts w:ascii="Arial" w:hAnsi="Arial" w:cs="Arial"/>
          <w:sz w:val="22"/>
          <w:szCs w:val="22"/>
        </w:rPr>
        <w:t>O</w:t>
      </w:r>
      <w:r w:rsidRPr="00D22838">
        <w:rPr>
          <w:rFonts w:ascii="Arial" w:hAnsi="Arial" w:cs="Arial"/>
          <w:sz w:val="22"/>
          <w:szCs w:val="22"/>
        </w:rPr>
        <w:t xml:space="preserve">bjednateli smluvní pokutu ve výši 50.000,- Kč za každý jednotlivý případ, a to i v případě, že k porušení povinnosti dojde po řádném dodání plnění dle </w:t>
      </w:r>
      <w:r w:rsidR="00EA5418" w:rsidRPr="00D22838">
        <w:rPr>
          <w:rFonts w:ascii="Arial" w:hAnsi="Arial" w:cs="Arial"/>
          <w:sz w:val="22"/>
          <w:szCs w:val="22"/>
        </w:rPr>
        <w:t>Dohod</w:t>
      </w:r>
      <w:r w:rsidRPr="00D22838">
        <w:rPr>
          <w:rFonts w:ascii="Arial" w:hAnsi="Arial" w:cs="Arial"/>
          <w:sz w:val="22"/>
          <w:szCs w:val="22"/>
        </w:rPr>
        <w:t>y.</w:t>
      </w:r>
    </w:p>
    <w:p w14:paraId="0DB92A68" w14:textId="1E2C38F8" w:rsidR="0081380D" w:rsidRDefault="00AE366C" w:rsidP="00370B2F">
      <w:pPr>
        <w:pStyle w:val="Odstavecseseznamem"/>
        <w:widowControl w:val="0"/>
        <w:numPr>
          <w:ilvl w:val="0"/>
          <w:numId w:val="1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Za porušení povinnosti ochrany osobních údajů dle čl. </w:t>
      </w:r>
      <w:r w:rsidR="0081380D" w:rsidRPr="00D22838">
        <w:rPr>
          <w:rFonts w:ascii="Arial" w:hAnsi="Arial" w:cs="Arial"/>
          <w:sz w:val="22"/>
          <w:szCs w:val="22"/>
        </w:rPr>
        <w:t>V</w:t>
      </w:r>
      <w:r w:rsidR="00630759" w:rsidRPr="00D22838">
        <w:rPr>
          <w:rFonts w:ascii="Arial" w:hAnsi="Arial" w:cs="Arial"/>
          <w:sz w:val="22"/>
          <w:szCs w:val="22"/>
        </w:rPr>
        <w:t>I</w:t>
      </w:r>
      <w:r w:rsidR="00A63BED" w:rsidRPr="00D22838">
        <w:rPr>
          <w:rFonts w:ascii="Arial" w:hAnsi="Arial" w:cs="Arial"/>
          <w:sz w:val="22"/>
          <w:szCs w:val="22"/>
        </w:rPr>
        <w:t>.</w:t>
      </w:r>
      <w:r w:rsidR="004B0547" w:rsidRPr="00D22838">
        <w:rPr>
          <w:rFonts w:ascii="Arial" w:hAnsi="Arial" w:cs="Arial"/>
          <w:sz w:val="22"/>
          <w:szCs w:val="22"/>
        </w:rPr>
        <w:t xml:space="preserve"> odst. </w:t>
      </w:r>
      <w:r w:rsidRPr="00D22838">
        <w:rPr>
          <w:rFonts w:ascii="Arial" w:hAnsi="Arial" w:cs="Arial"/>
          <w:sz w:val="22"/>
          <w:szCs w:val="22"/>
        </w:rPr>
        <w:t xml:space="preserve">2 </w:t>
      </w:r>
      <w:r w:rsidR="00EA5418" w:rsidRPr="00D22838">
        <w:rPr>
          <w:rFonts w:ascii="Arial" w:hAnsi="Arial" w:cs="Arial"/>
          <w:sz w:val="22"/>
          <w:szCs w:val="22"/>
        </w:rPr>
        <w:t>Dohod</w:t>
      </w:r>
      <w:r w:rsidRPr="00D22838">
        <w:rPr>
          <w:rFonts w:ascii="Arial" w:hAnsi="Arial" w:cs="Arial"/>
          <w:sz w:val="22"/>
          <w:szCs w:val="22"/>
        </w:rPr>
        <w:t xml:space="preserve">y a/nebo porušení povinnosti zabezpečit řádně a včas splnění všech ohlašovacích povinností, které </w:t>
      </w:r>
      <w:r w:rsidR="001E4C33" w:rsidRPr="00D22838">
        <w:rPr>
          <w:rFonts w:ascii="Arial" w:hAnsi="Arial" w:cs="Arial"/>
          <w:sz w:val="22"/>
          <w:szCs w:val="22"/>
        </w:rPr>
        <w:t xml:space="preserve">Předpisy </w:t>
      </w:r>
      <w:r w:rsidR="00512000" w:rsidRPr="00D22838">
        <w:rPr>
          <w:rFonts w:ascii="Arial" w:hAnsi="Arial" w:cs="Arial"/>
          <w:sz w:val="22"/>
          <w:szCs w:val="22"/>
        </w:rPr>
        <w:t>o OOÚ</w:t>
      </w:r>
      <w:r w:rsidRPr="00D22838">
        <w:rPr>
          <w:rFonts w:ascii="Arial" w:hAnsi="Arial" w:cs="Arial"/>
          <w:sz w:val="22"/>
          <w:szCs w:val="22"/>
        </w:rPr>
        <w:t xml:space="preserve"> požaduj</w:t>
      </w:r>
      <w:r w:rsidR="001E4C33" w:rsidRPr="00D22838">
        <w:rPr>
          <w:rFonts w:ascii="Arial" w:hAnsi="Arial" w:cs="Arial"/>
          <w:sz w:val="22"/>
          <w:szCs w:val="22"/>
        </w:rPr>
        <w:t>í</w:t>
      </w:r>
      <w:r w:rsidRPr="00D22838">
        <w:rPr>
          <w:rFonts w:ascii="Arial" w:hAnsi="Arial" w:cs="Arial"/>
          <w:sz w:val="22"/>
          <w:szCs w:val="22"/>
        </w:rPr>
        <w:t xml:space="preserve">, se zavazuje </w:t>
      </w:r>
      <w:r w:rsidR="00C52211" w:rsidRPr="00D22838">
        <w:rPr>
          <w:rFonts w:ascii="Arial" w:hAnsi="Arial" w:cs="Arial"/>
          <w:sz w:val="22"/>
          <w:szCs w:val="22"/>
        </w:rPr>
        <w:t>D</w:t>
      </w:r>
      <w:r w:rsidRPr="00D22838">
        <w:rPr>
          <w:rFonts w:ascii="Arial" w:hAnsi="Arial" w:cs="Arial"/>
          <w:sz w:val="22"/>
          <w:szCs w:val="22"/>
        </w:rPr>
        <w:t xml:space="preserve">odavatel zaplatit </w:t>
      </w:r>
      <w:r w:rsidR="00C52211" w:rsidRPr="00D22838">
        <w:rPr>
          <w:rFonts w:ascii="Arial" w:hAnsi="Arial" w:cs="Arial"/>
          <w:sz w:val="22"/>
          <w:szCs w:val="22"/>
        </w:rPr>
        <w:t>O</w:t>
      </w:r>
      <w:r w:rsidRPr="00D22838">
        <w:rPr>
          <w:rFonts w:ascii="Arial" w:hAnsi="Arial" w:cs="Arial"/>
          <w:sz w:val="22"/>
          <w:szCs w:val="22"/>
        </w:rPr>
        <w:t xml:space="preserve">bjednateli smluvní pokutu ve výši 50.000,- Kč za každý jednotlivý případ porušení, a to i v případě, že k porušení povinnosti dojde po řádném dodání plnění dle </w:t>
      </w:r>
      <w:r w:rsidR="00EA5418" w:rsidRPr="00D22838">
        <w:rPr>
          <w:rFonts w:ascii="Arial" w:hAnsi="Arial" w:cs="Arial"/>
          <w:sz w:val="22"/>
          <w:szCs w:val="22"/>
        </w:rPr>
        <w:t>Dohod</w:t>
      </w:r>
      <w:r w:rsidRPr="00D22838">
        <w:rPr>
          <w:rFonts w:ascii="Arial" w:hAnsi="Arial" w:cs="Arial"/>
          <w:sz w:val="22"/>
          <w:szCs w:val="22"/>
        </w:rPr>
        <w:t>y.</w:t>
      </w:r>
    </w:p>
    <w:p w14:paraId="0C7B63AC" w14:textId="12C51113" w:rsidR="00AE366C" w:rsidRPr="00D22838" w:rsidRDefault="00AE366C" w:rsidP="00370B2F">
      <w:pPr>
        <w:pStyle w:val="Odstavecseseznamem"/>
        <w:widowControl w:val="0"/>
        <w:numPr>
          <w:ilvl w:val="0"/>
          <w:numId w:val="1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Smluvní pokuty dle </w:t>
      </w:r>
      <w:r w:rsidR="00EA5418" w:rsidRPr="00D22838">
        <w:rPr>
          <w:rFonts w:ascii="Arial" w:hAnsi="Arial" w:cs="Arial"/>
          <w:sz w:val="22"/>
          <w:szCs w:val="22"/>
        </w:rPr>
        <w:t>Dohod</w:t>
      </w:r>
      <w:r w:rsidRPr="00D22838">
        <w:rPr>
          <w:rFonts w:ascii="Arial" w:hAnsi="Arial" w:cs="Arial"/>
          <w:sz w:val="22"/>
          <w:szCs w:val="22"/>
        </w:rPr>
        <w:t xml:space="preserve">y jsou splatné do 30 dnů od doručení oprávněné výzvy k její úhradě spolu s fakturou vystavenou oprávněnou smluvní stranou. Uplatněním práva na zaplacení jakékoli smluvní pokuty ani její úhradou dle </w:t>
      </w:r>
      <w:r w:rsidR="00EA5418" w:rsidRPr="00D22838">
        <w:rPr>
          <w:rFonts w:ascii="Arial" w:hAnsi="Arial" w:cs="Arial"/>
          <w:sz w:val="22"/>
          <w:szCs w:val="22"/>
        </w:rPr>
        <w:t>Dohod</w:t>
      </w:r>
      <w:r w:rsidRPr="00D22838">
        <w:rPr>
          <w:rFonts w:ascii="Arial" w:hAnsi="Arial" w:cs="Arial"/>
          <w:sz w:val="22"/>
          <w:szCs w:val="22"/>
        </w:rPr>
        <w:t xml:space="preserve">y není dotčeno ani omezeno právo </w:t>
      </w:r>
      <w:r w:rsidRPr="00D22838">
        <w:rPr>
          <w:rFonts w:ascii="Arial" w:hAnsi="Arial" w:cs="Arial"/>
          <w:sz w:val="22"/>
          <w:szCs w:val="22"/>
        </w:rPr>
        <w:lastRenderedPageBreak/>
        <w:t xml:space="preserve">oprávněné smluvní strany na náhradu újmy způsobené porušením povinnosti, na kterou se vztahuje daná smluvní pokuta podle </w:t>
      </w:r>
      <w:r w:rsidR="00EA5418" w:rsidRPr="00D22838">
        <w:rPr>
          <w:rFonts w:ascii="Arial" w:hAnsi="Arial" w:cs="Arial"/>
          <w:sz w:val="22"/>
          <w:szCs w:val="22"/>
        </w:rPr>
        <w:t>Dohod</w:t>
      </w:r>
      <w:r w:rsidRPr="00D22838">
        <w:rPr>
          <w:rFonts w:ascii="Arial" w:hAnsi="Arial" w:cs="Arial"/>
          <w:sz w:val="22"/>
          <w:szCs w:val="22"/>
        </w:rPr>
        <w:t xml:space="preserve">y, v plné výši. </w:t>
      </w:r>
    </w:p>
    <w:p w14:paraId="04CE1B8C" w14:textId="47879568" w:rsidR="002656B6" w:rsidRPr="00950924" w:rsidRDefault="00AE366C" w:rsidP="00950924">
      <w:pPr>
        <w:pStyle w:val="Odstavecseseznamem"/>
        <w:widowControl w:val="0"/>
        <w:numPr>
          <w:ilvl w:val="0"/>
          <w:numId w:val="1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Smluvní pokuty lze uložit opakovaně a za každý jednotlivý případ. Zaplacením smluvní pokuty není dotčeno právo smluvní strany na náhradu škody vzniklé porušením smluvní povinnosti, které se smluvní pokuta týká.</w:t>
      </w:r>
    </w:p>
    <w:p w14:paraId="3B8E3BC1" w14:textId="2CC02D9E" w:rsidR="00907514" w:rsidRPr="00D22838" w:rsidRDefault="00C14997" w:rsidP="00266804">
      <w:pPr>
        <w:widowControl w:val="0"/>
        <w:autoSpaceDE w:val="0"/>
        <w:autoSpaceDN w:val="0"/>
        <w:adjustRightInd w:val="0"/>
        <w:spacing w:before="240"/>
        <w:jc w:val="center"/>
        <w:rPr>
          <w:rFonts w:ascii="Arial" w:hAnsi="Arial" w:cs="Arial"/>
          <w:b/>
          <w:sz w:val="22"/>
          <w:szCs w:val="22"/>
          <w:lang w:val="en-US"/>
        </w:rPr>
      </w:pPr>
      <w:r>
        <w:rPr>
          <w:rFonts w:ascii="Arial" w:hAnsi="Arial" w:cs="Arial"/>
          <w:b/>
          <w:sz w:val="22"/>
          <w:szCs w:val="22"/>
        </w:rPr>
        <w:t>VIII</w:t>
      </w:r>
      <w:r w:rsidR="00907514" w:rsidRPr="00D22838">
        <w:rPr>
          <w:rFonts w:ascii="Arial" w:hAnsi="Arial" w:cs="Arial"/>
          <w:b/>
          <w:sz w:val="22"/>
          <w:szCs w:val="22"/>
        </w:rPr>
        <w:t>.</w:t>
      </w:r>
    </w:p>
    <w:p w14:paraId="5A9723F1" w14:textId="77777777" w:rsidR="00907514" w:rsidRPr="00D22838" w:rsidRDefault="00907514" w:rsidP="00162387">
      <w:pPr>
        <w:widowControl w:val="0"/>
        <w:autoSpaceDE w:val="0"/>
        <w:autoSpaceDN w:val="0"/>
        <w:adjustRightInd w:val="0"/>
        <w:spacing w:after="120" w:line="240" w:lineRule="atLeast"/>
        <w:jc w:val="center"/>
        <w:rPr>
          <w:rFonts w:ascii="Arial" w:hAnsi="Arial" w:cs="Arial"/>
          <w:sz w:val="22"/>
          <w:szCs w:val="22"/>
        </w:rPr>
      </w:pPr>
      <w:r w:rsidRPr="00D22838">
        <w:rPr>
          <w:rFonts w:ascii="Arial" w:hAnsi="Arial" w:cs="Arial"/>
          <w:b/>
          <w:sz w:val="22"/>
          <w:szCs w:val="22"/>
          <w:u w:val="single"/>
        </w:rPr>
        <w:t>Závěrečná ustanovení</w:t>
      </w:r>
    </w:p>
    <w:p w14:paraId="26F0AAA8" w14:textId="3F336D8C" w:rsidR="00432173" w:rsidRPr="00D22838" w:rsidRDefault="00146038" w:rsidP="0017391A">
      <w:pPr>
        <w:pStyle w:val="Odstavecseseznamem"/>
        <w:widowControl w:val="0"/>
        <w:numPr>
          <w:ilvl w:val="0"/>
          <w:numId w:val="13"/>
        </w:numPr>
        <w:autoSpaceDE w:val="0"/>
        <w:autoSpaceDN w:val="0"/>
        <w:adjustRightInd w:val="0"/>
        <w:spacing w:after="120"/>
        <w:ind w:left="357" w:hanging="357"/>
        <w:contextualSpacing w:val="0"/>
        <w:jc w:val="both"/>
        <w:rPr>
          <w:rFonts w:ascii="Arial" w:hAnsi="Arial" w:cs="Arial"/>
          <w:sz w:val="22"/>
          <w:szCs w:val="22"/>
        </w:rPr>
      </w:pPr>
      <w:r w:rsidRPr="00D22838">
        <w:rPr>
          <w:rFonts w:ascii="Arial" w:hAnsi="Arial" w:cs="Arial"/>
          <w:sz w:val="22"/>
          <w:szCs w:val="22"/>
        </w:rPr>
        <w:t>T</w:t>
      </w:r>
      <w:r w:rsidR="009F38FA" w:rsidRPr="00D22838">
        <w:rPr>
          <w:rFonts w:ascii="Arial" w:hAnsi="Arial" w:cs="Arial"/>
          <w:sz w:val="22"/>
          <w:szCs w:val="22"/>
        </w:rPr>
        <w:t>a</w:t>
      </w:r>
      <w:r w:rsidRPr="00D22838">
        <w:rPr>
          <w:rFonts w:ascii="Arial" w:hAnsi="Arial" w:cs="Arial"/>
          <w:sz w:val="22"/>
          <w:szCs w:val="22"/>
        </w:rPr>
        <w:t xml:space="preserve">to </w:t>
      </w:r>
      <w:r w:rsidR="00EA5418" w:rsidRPr="00D22838">
        <w:rPr>
          <w:rFonts w:ascii="Arial" w:hAnsi="Arial" w:cs="Arial"/>
          <w:sz w:val="22"/>
          <w:szCs w:val="22"/>
        </w:rPr>
        <w:t>Dohod</w:t>
      </w:r>
      <w:r w:rsidR="00D909B1" w:rsidRPr="00D22838">
        <w:rPr>
          <w:rFonts w:ascii="Arial" w:hAnsi="Arial" w:cs="Arial"/>
          <w:sz w:val="22"/>
          <w:szCs w:val="22"/>
        </w:rPr>
        <w:t xml:space="preserve">a nabývá platnosti dnem podpisu oběma smluvními stranami. </w:t>
      </w:r>
      <w:r w:rsidR="00124059" w:rsidRPr="00D22838">
        <w:rPr>
          <w:rFonts w:ascii="Arial" w:hAnsi="Arial" w:cs="Arial"/>
          <w:sz w:val="22"/>
          <w:szCs w:val="22"/>
        </w:rPr>
        <w:t xml:space="preserve">Účinnosti </w:t>
      </w:r>
      <w:r w:rsidR="00600545" w:rsidRPr="00D22838">
        <w:rPr>
          <w:rFonts w:ascii="Arial" w:hAnsi="Arial" w:cs="Arial"/>
          <w:sz w:val="22"/>
          <w:szCs w:val="22"/>
        </w:rPr>
        <w:t xml:space="preserve">tato </w:t>
      </w:r>
      <w:r w:rsidR="00EA5418" w:rsidRPr="00D22838">
        <w:rPr>
          <w:rFonts w:ascii="Arial" w:hAnsi="Arial" w:cs="Arial"/>
          <w:sz w:val="22"/>
          <w:szCs w:val="22"/>
        </w:rPr>
        <w:t>Dohod</w:t>
      </w:r>
      <w:r w:rsidR="004B0547" w:rsidRPr="00D22838">
        <w:rPr>
          <w:rFonts w:ascii="Arial" w:hAnsi="Arial" w:cs="Arial"/>
          <w:sz w:val="22"/>
          <w:szCs w:val="22"/>
        </w:rPr>
        <w:t xml:space="preserve">a </w:t>
      </w:r>
      <w:r w:rsidR="00D909B1" w:rsidRPr="00D22838">
        <w:rPr>
          <w:rFonts w:ascii="Arial" w:hAnsi="Arial" w:cs="Arial"/>
          <w:sz w:val="22"/>
          <w:szCs w:val="22"/>
        </w:rPr>
        <w:t>nabývá dnem uveřejnění v Registru smluv</w:t>
      </w:r>
      <w:r w:rsidR="00E761C0">
        <w:rPr>
          <w:rFonts w:ascii="Arial" w:hAnsi="Arial" w:cs="Arial"/>
          <w:sz w:val="22"/>
          <w:szCs w:val="22"/>
        </w:rPr>
        <w:t xml:space="preserve">, a to dle </w:t>
      </w:r>
      <w:r w:rsidR="00E761C0" w:rsidRPr="00E761C0">
        <w:rPr>
          <w:rFonts w:ascii="Arial" w:hAnsi="Arial" w:cs="Arial"/>
          <w:sz w:val="22"/>
          <w:szCs w:val="22"/>
        </w:rPr>
        <w:t>zák. č. 340/2015 Sb., o zvláštních podmínkách účinnosti některých smluv, uveřejňování těchto smluv těchto smluv a o registru smluv</w:t>
      </w:r>
      <w:r w:rsidR="0054692A">
        <w:rPr>
          <w:rFonts w:ascii="Arial" w:hAnsi="Arial" w:cs="Arial"/>
          <w:sz w:val="22"/>
          <w:szCs w:val="22"/>
        </w:rPr>
        <w:t>, ve znění pozdějších předpisů (dále jen „zákon o registru smluv“)</w:t>
      </w:r>
      <w:r w:rsidR="00E55D58">
        <w:rPr>
          <w:rFonts w:ascii="Arial" w:hAnsi="Arial" w:cs="Arial"/>
          <w:sz w:val="22"/>
          <w:szCs w:val="22"/>
        </w:rPr>
        <w:t>.</w:t>
      </w:r>
    </w:p>
    <w:p w14:paraId="083918F5" w14:textId="186147CD" w:rsidR="00432173" w:rsidRDefault="00432173" w:rsidP="0017391A">
      <w:pPr>
        <w:pStyle w:val="Odstavecseseznamem"/>
        <w:widowControl w:val="0"/>
        <w:numPr>
          <w:ilvl w:val="0"/>
          <w:numId w:val="13"/>
        </w:numPr>
        <w:autoSpaceDE w:val="0"/>
        <w:autoSpaceDN w:val="0"/>
        <w:adjustRightInd w:val="0"/>
        <w:spacing w:after="120"/>
        <w:ind w:left="357" w:hanging="357"/>
        <w:contextualSpacing w:val="0"/>
        <w:jc w:val="both"/>
        <w:rPr>
          <w:rFonts w:ascii="Arial" w:hAnsi="Arial" w:cs="Arial"/>
          <w:sz w:val="22"/>
          <w:szCs w:val="22"/>
        </w:rPr>
      </w:pPr>
      <w:r w:rsidRPr="00D22838">
        <w:rPr>
          <w:rFonts w:ascii="Arial" w:hAnsi="Arial" w:cs="Arial"/>
          <w:sz w:val="22"/>
          <w:szCs w:val="22"/>
        </w:rPr>
        <w:t xml:space="preserve">Smluvní strany berou na vědomí, že tato Dohoda podléhá uveřejnění podle zákona o registru smluv. Smluvní strany výslovně souhlasí s tím, že tato </w:t>
      </w:r>
      <w:r w:rsidR="00F678C2" w:rsidRPr="00D22838">
        <w:rPr>
          <w:rFonts w:ascii="Arial" w:hAnsi="Arial" w:cs="Arial"/>
          <w:sz w:val="22"/>
          <w:szCs w:val="22"/>
        </w:rPr>
        <w:t>Dohoda</w:t>
      </w:r>
      <w:r w:rsidRPr="00D22838">
        <w:rPr>
          <w:rFonts w:ascii="Arial" w:hAnsi="Arial" w:cs="Arial"/>
          <w:sz w:val="22"/>
          <w:szCs w:val="22"/>
        </w:rPr>
        <w:t xml:space="preserve"> bude uveřejněna v Registru smluv bez jakýchkoliv omezení, a to včetně případných příloh a dodatků. Smluvní strany prohlašují, že skutečnosti uvedené v této </w:t>
      </w:r>
      <w:r w:rsidR="00F678C2" w:rsidRPr="00D22838">
        <w:rPr>
          <w:rFonts w:ascii="Arial" w:hAnsi="Arial" w:cs="Arial"/>
          <w:sz w:val="22"/>
          <w:szCs w:val="22"/>
        </w:rPr>
        <w:t>Dohodě</w:t>
      </w:r>
      <w:r w:rsidRPr="00D22838">
        <w:rPr>
          <w:rFonts w:ascii="Arial" w:hAnsi="Arial" w:cs="Arial"/>
          <w:sz w:val="22"/>
          <w:szCs w:val="22"/>
        </w:rPr>
        <w:t xml:space="preserve"> nepovažují za obchodní tajemství ve smyslu ustanovení platných právních předpisů a udělují svolení k jejich užití a uveřejnění bez stanovení jakýchkoliv dalších podmínek či omezení.</w:t>
      </w:r>
    </w:p>
    <w:p w14:paraId="5E95CC8E" w14:textId="5AD5AB86" w:rsidR="00155592" w:rsidRPr="00155592" w:rsidRDefault="00155592" w:rsidP="0017391A">
      <w:pPr>
        <w:pStyle w:val="Odstavecseseznamem"/>
        <w:numPr>
          <w:ilvl w:val="0"/>
          <w:numId w:val="13"/>
        </w:numPr>
        <w:spacing w:after="120"/>
        <w:ind w:left="357" w:hanging="357"/>
        <w:jc w:val="both"/>
        <w:rPr>
          <w:rFonts w:ascii="Arial" w:hAnsi="Arial" w:cs="Arial"/>
          <w:sz w:val="22"/>
          <w:szCs w:val="22"/>
        </w:rPr>
      </w:pPr>
      <w:r w:rsidRPr="00155592">
        <w:rPr>
          <w:rFonts w:ascii="Arial" w:hAnsi="Arial" w:cs="Arial"/>
          <w:sz w:val="22"/>
          <w:szCs w:val="22"/>
        </w:rPr>
        <w:t xml:space="preserve">Všechny právní vztahy, které vzniknou při realizaci závazků vyplývajících z této </w:t>
      </w:r>
      <w:r w:rsidR="00BC3939">
        <w:rPr>
          <w:rFonts w:ascii="Arial" w:hAnsi="Arial" w:cs="Arial"/>
          <w:sz w:val="22"/>
          <w:szCs w:val="22"/>
        </w:rPr>
        <w:t>Dohody</w:t>
      </w:r>
      <w:r w:rsidRPr="00155592">
        <w:rPr>
          <w:rFonts w:ascii="Arial" w:hAnsi="Arial" w:cs="Arial"/>
          <w:sz w:val="22"/>
          <w:szCs w:val="22"/>
        </w:rPr>
        <w:t>, se řídí právním řádem České republiky.</w:t>
      </w:r>
    </w:p>
    <w:p w14:paraId="670C513F" w14:textId="77777777" w:rsidR="00155592" w:rsidRPr="00D22838" w:rsidRDefault="00155592" w:rsidP="00155592">
      <w:pPr>
        <w:pStyle w:val="Odstavecseseznamem"/>
        <w:widowControl w:val="0"/>
        <w:autoSpaceDE w:val="0"/>
        <w:autoSpaceDN w:val="0"/>
        <w:adjustRightInd w:val="0"/>
        <w:spacing w:before="240" w:after="120"/>
        <w:ind w:left="360"/>
        <w:contextualSpacing w:val="0"/>
        <w:jc w:val="both"/>
        <w:rPr>
          <w:rFonts w:ascii="Arial" w:hAnsi="Arial" w:cs="Arial"/>
          <w:sz w:val="22"/>
          <w:szCs w:val="22"/>
        </w:rPr>
      </w:pPr>
    </w:p>
    <w:p w14:paraId="2EFB1103" w14:textId="708B14A4" w:rsidR="00D909B1" w:rsidRPr="00D22838" w:rsidRDefault="00D909B1" w:rsidP="000940CF">
      <w:pPr>
        <w:pStyle w:val="Odstavecseseznamem"/>
        <w:widowControl w:val="0"/>
        <w:numPr>
          <w:ilvl w:val="0"/>
          <w:numId w:val="13"/>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Kontaktními osobami pro účely </w:t>
      </w:r>
      <w:r w:rsidR="00EA5418" w:rsidRPr="00D22838">
        <w:rPr>
          <w:rFonts w:ascii="Arial" w:hAnsi="Arial" w:cs="Arial"/>
          <w:sz w:val="22"/>
          <w:szCs w:val="22"/>
        </w:rPr>
        <w:t>Dohody</w:t>
      </w:r>
      <w:r w:rsidRPr="00D22838">
        <w:rPr>
          <w:rFonts w:ascii="Arial" w:hAnsi="Arial" w:cs="Arial"/>
          <w:sz w:val="22"/>
          <w:szCs w:val="22"/>
        </w:rPr>
        <w:t xml:space="preserve"> jsou:</w:t>
      </w:r>
    </w:p>
    <w:p w14:paraId="353EEEA3" w14:textId="77777777" w:rsidR="00D40314" w:rsidRPr="00D22838" w:rsidRDefault="00D40314" w:rsidP="00D40314">
      <w:pPr>
        <w:jc w:val="both"/>
        <w:rPr>
          <w:rFonts w:ascii="Arial" w:hAnsi="Arial" w:cs="Arial"/>
          <w:sz w:val="22"/>
          <w:szCs w:val="22"/>
        </w:rPr>
        <w:sectPr w:rsidR="00D40314" w:rsidRPr="00D22838" w:rsidSect="00967BD6">
          <w:headerReference w:type="default" r:id="rId11"/>
          <w:footerReference w:type="default" r:id="rId12"/>
          <w:type w:val="continuous"/>
          <w:pgSz w:w="11906" w:h="16838"/>
          <w:pgMar w:top="1531" w:right="992" w:bottom="1418" w:left="1418" w:header="709" w:footer="709" w:gutter="0"/>
          <w:cols w:space="708"/>
          <w:docGrid w:linePitch="360"/>
        </w:sectPr>
      </w:pPr>
    </w:p>
    <w:p w14:paraId="3A8F38CB" w14:textId="5265A4F1" w:rsidR="00F364B3" w:rsidRPr="00D22838" w:rsidRDefault="00F364B3" w:rsidP="00F364B3">
      <w:pPr>
        <w:widowControl w:val="0"/>
        <w:autoSpaceDE w:val="0"/>
        <w:autoSpaceDN w:val="0"/>
        <w:adjustRightInd w:val="0"/>
        <w:spacing w:after="120"/>
        <w:jc w:val="center"/>
        <w:rPr>
          <w:rFonts w:ascii="Arial" w:hAnsi="Arial" w:cs="Arial"/>
          <w:sz w:val="22"/>
          <w:szCs w:val="22"/>
          <w:u w:val="single"/>
        </w:rPr>
      </w:pPr>
      <w:r w:rsidRPr="00D22838">
        <w:rPr>
          <w:rFonts w:ascii="Arial" w:hAnsi="Arial" w:cs="Arial"/>
          <w:sz w:val="22"/>
          <w:szCs w:val="22"/>
          <w:u w:val="single"/>
        </w:rPr>
        <w:t>Za Objednatele</w:t>
      </w:r>
    </w:p>
    <w:p w14:paraId="2382A0BD" w14:textId="58ECAEEB" w:rsidR="00F364B3" w:rsidRPr="00D22838" w:rsidRDefault="00F364B3" w:rsidP="00F364B3">
      <w:pPr>
        <w:widowControl w:val="0"/>
        <w:autoSpaceDE w:val="0"/>
        <w:autoSpaceDN w:val="0"/>
        <w:adjustRightInd w:val="0"/>
        <w:spacing w:after="120"/>
        <w:jc w:val="center"/>
        <w:rPr>
          <w:rFonts w:ascii="Arial" w:hAnsi="Arial" w:cs="Arial"/>
          <w:sz w:val="22"/>
          <w:szCs w:val="22"/>
        </w:rPr>
      </w:pPr>
      <w:r w:rsidRPr="00D22838">
        <w:rPr>
          <w:rFonts w:ascii="Arial" w:hAnsi="Arial" w:cs="Arial"/>
          <w:sz w:val="22"/>
          <w:szCs w:val="22"/>
        </w:rPr>
        <w:t xml:space="preserve">Ing. </w:t>
      </w:r>
      <w:r w:rsidR="007A6CF2">
        <w:rPr>
          <w:rFonts w:ascii="Arial" w:hAnsi="Arial" w:cs="Arial"/>
          <w:sz w:val="22"/>
          <w:szCs w:val="22"/>
        </w:rPr>
        <w:t>Josef Mádl</w:t>
      </w:r>
    </w:p>
    <w:p w14:paraId="655D26BC" w14:textId="713124AF" w:rsidR="00F364B3" w:rsidRPr="00D22838" w:rsidRDefault="00F364B3" w:rsidP="00F364B3">
      <w:pPr>
        <w:widowControl w:val="0"/>
        <w:autoSpaceDE w:val="0"/>
        <w:autoSpaceDN w:val="0"/>
        <w:adjustRightInd w:val="0"/>
        <w:spacing w:after="120"/>
        <w:jc w:val="center"/>
        <w:rPr>
          <w:rFonts w:ascii="Arial" w:hAnsi="Arial" w:cs="Arial"/>
          <w:sz w:val="22"/>
          <w:szCs w:val="22"/>
        </w:rPr>
      </w:pPr>
      <w:r w:rsidRPr="00D22838">
        <w:rPr>
          <w:rFonts w:ascii="Arial" w:hAnsi="Arial" w:cs="Arial"/>
          <w:sz w:val="22"/>
          <w:szCs w:val="22"/>
        </w:rPr>
        <w:t xml:space="preserve">Vedoucí oddělení </w:t>
      </w:r>
      <w:r w:rsidR="007A6CF2">
        <w:rPr>
          <w:rFonts w:ascii="Arial" w:hAnsi="Arial" w:cs="Arial"/>
          <w:sz w:val="22"/>
          <w:szCs w:val="22"/>
        </w:rPr>
        <w:t>systémové podpory</w:t>
      </w:r>
      <w:r w:rsidRPr="00D22838">
        <w:rPr>
          <w:rFonts w:ascii="Arial" w:hAnsi="Arial" w:cs="Arial"/>
          <w:sz w:val="22"/>
          <w:szCs w:val="22"/>
        </w:rPr>
        <w:t xml:space="preserve"> IS</w:t>
      </w:r>
    </w:p>
    <w:p w14:paraId="41A3DD5A" w14:textId="503F1CF0" w:rsidR="00F364B3" w:rsidRPr="00D22838" w:rsidRDefault="00F364B3" w:rsidP="00F364B3">
      <w:pPr>
        <w:widowControl w:val="0"/>
        <w:autoSpaceDE w:val="0"/>
        <w:autoSpaceDN w:val="0"/>
        <w:adjustRightInd w:val="0"/>
        <w:spacing w:after="120"/>
        <w:jc w:val="center"/>
        <w:rPr>
          <w:rFonts w:ascii="Arial" w:hAnsi="Arial" w:cs="Arial"/>
          <w:sz w:val="22"/>
          <w:szCs w:val="22"/>
        </w:rPr>
      </w:pPr>
      <w:r w:rsidRPr="00D22838">
        <w:rPr>
          <w:rFonts w:ascii="Arial" w:hAnsi="Arial" w:cs="Arial"/>
          <w:sz w:val="22"/>
          <w:szCs w:val="22"/>
        </w:rPr>
        <w:t xml:space="preserve">Email: </w:t>
      </w:r>
      <w:hyperlink r:id="rId13" w:history="1">
        <w:r w:rsidR="007A6CF2" w:rsidRPr="00446F7F">
          <w:rPr>
            <w:rStyle w:val="Hypertextovodkaz"/>
            <w:rFonts w:ascii="Arial" w:hAnsi="Arial" w:cs="Arial"/>
            <w:sz w:val="22"/>
            <w:szCs w:val="22"/>
          </w:rPr>
          <w:t>jmadl@vozp.cz</w:t>
        </w:r>
      </w:hyperlink>
    </w:p>
    <w:p w14:paraId="466FA47B" w14:textId="17163FE4" w:rsidR="00F364B3" w:rsidRPr="00D22838" w:rsidRDefault="00F364B3" w:rsidP="00F364B3">
      <w:pPr>
        <w:widowControl w:val="0"/>
        <w:autoSpaceDE w:val="0"/>
        <w:autoSpaceDN w:val="0"/>
        <w:adjustRightInd w:val="0"/>
        <w:spacing w:after="120"/>
        <w:jc w:val="center"/>
        <w:rPr>
          <w:rFonts w:ascii="Arial" w:hAnsi="Arial" w:cs="Arial"/>
          <w:sz w:val="22"/>
          <w:szCs w:val="22"/>
        </w:rPr>
      </w:pPr>
      <w:r w:rsidRPr="00D22838">
        <w:rPr>
          <w:rFonts w:ascii="Arial" w:hAnsi="Arial" w:cs="Arial"/>
          <w:sz w:val="22"/>
          <w:szCs w:val="22"/>
        </w:rPr>
        <w:t>Tel.: 284 021</w:t>
      </w:r>
      <w:r w:rsidR="008D5CD0">
        <w:rPr>
          <w:rFonts w:ascii="Arial" w:hAnsi="Arial" w:cs="Arial"/>
          <w:sz w:val="22"/>
          <w:szCs w:val="22"/>
        </w:rPr>
        <w:t> </w:t>
      </w:r>
      <w:r w:rsidR="007A6CF2">
        <w:rPr>
          <w:rFonts w:ascii="Arial" w:hAnsi="Arial" w:cs="Arial"/>
          <w:sz w:val="22"/>
          <w:szCs w:val="22"/>
        </w:rPr>
        <w:t>236</w:t>
      </w:r>
    </w:p>
    <w:p w14:paraId="654B0387" w14:textId="77777777" w:rsidR="008D5CD0" w:rsidRDefault="008D5CD0" w:rsidP="008D5CD0">
      <w:pPr>
        <w:widowControl w:val="0"/>
        <w:autoSpaceDE w:val="0"/>
        <w:autoSpaceDN w:val="0"/>
        <w:adjustRightInd w:val="0"/>
        <w:spacing w:after="120"/>
        <w:rPr>
          <w:rFonts w:ascii="Arial" w:hAnsi="Arial" w:cs="Arial"/>
          <w:sz w:val="22"/>
          <w:szCs w:val="22"/>
          <w:u w:val="single"/>
        </w:rPr>
      </w:pPr>
    </w:p>
    <w:p w14:paraId="2E9F413A" w14:textId="517DE1C4" w:rsidR="00F364B3" w:rsidRPr="00D22838" w:rsidRDefault="00F364B3" w:rsidP="0017391A">
      <w:pPr>
        <w:widowControl w:val="0"/>
        <w:autoSpaceDE w:val="0"/>
        <w:autoSpaceDN w:val="0"/>
        <w:adjustRightInd w:val="0"/>
        <w:spacing w:after="120"/>
        <w:ind w:left="708" w:firstLine="708"/>
        <w:rPr>
          <w:rFonts w:ascii="Arial" w:hAnsi="Arial" w:cs="Arial"/>
          <w:sz w:val="22"/>
          <w:szCs w:val="22"/>
          <w:u w:val="single"/>
        </w:rPr>
      </w:pPr>
      <w:r w:rsidRPr="00D22838">
        <w:rPr>
          <w:rFonts w:ascii="Arial" w:hAnsi="Arial" w:cs="Arial"/>
          <w:sz w:val="22"/>
          <w:szCs w:val="22"/>
          <w:u w:val="single"/>
        </w:rPr>
        <w:t>Za Dodavatele</w:t>
      </w:r>
    </w:p>
    <w:p w14:paraId="2E960EA9" w14:textId="5140857A" w:rsidR="00F364B3" w:rsidRPr="008D5CD0" w:rsidRDefault="00F364B3" w:rsidP="00F364B3">
      <w:pPr>
        <w:widowControl w:val="0"/>
        <w:autoSpaceDE w:val="0"/>
        <w:autoSpaceDN w:val="0"/>
        <w:adjustRightInd w:val="0"/>
        <w:spacing w:after="120"/>
        <w:jc w:val="center"/>
        <w:rPr>
          <w:rFonts w:ascii="Arial" w:hAnsi="Arial" w:cs="Arial"/>
          <w:sz w:val="22"/>
          <w:szCs w:val="22"/>
          <w:highlight w:val="yellow"/>
        </w:rPr>
      </w:pPr>
      <w:r w:rsidRPr="008D5CD0">
        <w:rPr>
          <w:rFonts w:ascii="Arial" w:hAnsi="Arial" w:cs="Arial"/>
          <w:sz w:val="22"/>
          <w:szCs w:val="22"/>
          <w:highlight w:val="yellow"/>
        </w:rPr>
        <w:t>…………………………</w:t>
      </w:r>
    </w:p>
    <w:p w14:paraId="4DBD32E6" w14:textId="77777777" w:rsidR="00F364B3" w:rsidRPr="00D22838" w:rsidRDefault="00F364B3" w:rsidP="00F364B3">
      <w:pPr>
        <w:widowControl w:val="0"/>
        <w:autoSpaceDE w:val="0"/>
        <w:autoSpaceDN w:val="0"/>
        <w:adjustRightInd w:val="0"/>
        <w:spacing w:after="120"/>
        <w:jc w:val="center"/>
        <w:rPr>
          <w:rFonts w:ascii="Arial" w:hAnsi="Arial" w:cs="Arial"/>
          <w:sz w:val="22"/>
          <w:szCs w:val="22"/>
        </w:rPr>
      </w:pPr>
      <w:r w:rsidRPr="008D5CD0">
        <w:rPr>
          <w:rFonts w:ascii="Arial" w:hAnsi="Arial" w:cs="Arial"/>
          <w:sz w:val="22"/>
          <w:szCs w:val="22"/>
          <w:highlight w:val="yellow"/>
        </w:rPr>
        <w:t>…………………………</w:t>
      </w:r>
    </w:p>
    <w:p w14:paraId="6128E727" w14:textId="77777777" w:rsidR="008D5CD0" w:rsidRDefault="008D5CD0" w:rsidP="00F364B3">
      <w:pPr>
        <w:widowControl w:val="0"/>
        <w:autoSpaceDE w:val="0"/>
        <w:autoSpaceDN w:val="0"/>
        <w:adjustRightInd w:val="0"/>
        <w:spacing w:after="120"/>
        <w:jc w:val="center"/>
        <w:rPr>
          <w:rFonts w:ascii="Arial" w:hAnsi="Arial" w:cs="Arial"/>
          <w:sz w:val="22"/>
          <w:szCs w:val="22"/>
        </w:rPr>
      </w:pPr>
    </w:p>
    <w:p w14:paraId="6E5682A9" w14:textId="4BD6183A" w:rsidR="00F364B3" w:rsidRPr="00D22838" w:rsidRDefault="008D5CD0" w:rsidP="00F364B3">
      <w:pPr>
        <w:widowControl w:val="0"/>
        <w:autoSpaceDE w:val="0"/>
        <w:autoSpaceDN w:val="0"/>
        <w:adjustRightInd w:val="0"/>
        <w:spacing w:after="120"/>
        <w:jc w:val="center"/>
        <w:rPr>
          <w:rFonts w:ascii="Arial" w:hAnsi="Arial" w:cs="Arial"/>
          <w:sz w:val="22"/>
          <w:szCs w:val="22"/>
        </w:rPr>
      </w:pPr>
      <w:r>
        <w:rPr>
          <w:rFonts w:ascii="Arial" w:hAnsi="Arial" w:cs="Arial"/>
          <w:sz w:val="22"/>
          <w:szCs w:val="22"/>
        </w:rPr>
        <w:t>Email:</w:t>
      </w:r>
      <w:r w:rsidR="00F364B3" w:rsidRPr="008D5CD0">
        <w:rPr>
          <w:rFonts w:ascii="Arial" w:hAnsi="Arial" w:cs="Arial"/>
          <w:sz w:val="22"/>
          <w:szCs w:val="22"/>
          <w:highlight w:val="yellow"/>
        </w:rPr>
        <w:t>…………………………</w:t>
      </w:r>
    </w:p>
    <w:p w14:paraId="07DF76D3" w14:textId="38A57B70" w:rsidR="00F364B3" w:rsidRPr="00D22838" w:rsidRDefault="008D5CD0" w:rsidP="00F364B3">
      <w:pPr>
        <w:widowControl w:val="0"/>
        <w:autoSpaceDE w:val="0"/>
        <w:autoSpaceDN w:val="0"/>
        <w:adjustRightInd w:val="0"/>
        <w:spacing w:after="120"/>
        <w:jc w:val="center"/>
        <w:rPr>
          <w:rFonts w:ascii="Arial" w:hAnsi="Arial" w:cs="Arial"/>
          <w:sz w:val="22"/>
          <w:szCs w:val="22"/>
        </w:rPr>
      </w:pPr>
      <w:r>
        <w:rPr>
          <w:rFonts w:ascii="Arial" w:hAnsi="Arial" w:cs="Arial"/>
          <w:sz w:val="22"/>
          <w:szCs w:val="22"/>
        </w:rPr>
        <w:t>Tel:</w:t>
      </w:r>
      <w:r w:rsidR="00F364B3" w:rsidRPr="008D5CD0">
        <w:rPr>
          <w:rFonts w:ascii="Arial" w:hAnsi="Arial" w:cs="Arial"/>
          <w:sz w:val="22"/>
          <w:szCs w:val="22"/>
          <w:highlight w:val="yellow"/>
        </w:rPr>
        <w:t>…………………………</w:t>
      </w:r>
    </w:p>
    <w:p w14:paraId="075394AB" w14:textId="77777777" w:rsidR="00F364B3" w:rsidRPr="00D22838" w:rsidRDefault="00F364B3" w:rsidP="00E21DDC">
      <w:pPr>
        <w:spacing w:after="120"/>
        <w:jc w:val="both"/>
        <w:rPr>
          <w:rFonts w:ascii="Arial" w:hAnsi="Arial" w:cs="Arial"/>
          <w:sz w:val="22"/>
          <w:szCs w:val="22"/>
        </w:rPr>
        <w:sectPr w:rsidR="00F364B3" w:rsidRPr="00D22838" w:rsidSect="00F364B3">
          <w:type w:val="continuous"/>
          <w:pgSz w:w="11906" w:h="16838"/>
          <w:pgMar w:top="1531" w:right="992" w:bottom="1418" w:left="1418" w:header="709" w:footer="709" w:gutter="0"/>
          <w:cols w:num="2" w:space="708"/>
          <w:docGrid w:linePitch="360"/>
        </w:sectPr>
      </w:pPr>
    </w:p>
    <w:p w14:paraId="1339D482" w14:textId="4A0E6062" w:rsidR="00D909B1" w:rsidRPr="00A21F75" w:rsidRDefault="00D909B1" w:rsidP="0017391A">
      <w:pPr>
        <w:spacing w:after="120"/>
        <w:ind w:left="360"/>
        <w:jc w:val="both"/>
        <w:rPr>
          <w:rFonts w:ascii="Arial" w:hAnsi="Arial" w:cs="Arial"/>
          <w:sz w:val="22"/>
          <w:szCs w:val="22"/>
        </w:rPr>
      </w:pPr>
      <w:r w:rsidRPr="00A21F75">
        <w:rPr>
          <w:rFonts w:ascii="Arial" w:hAnsi="Arial" w:cs="Arial"/>
          <w:sz w:val="22"/>
          <w:szCs w:val="22"/>
        </w:rPr>
        <w:t>V případě změny kontaktní osoby musí být o této skutečnosti druhá smluvní strana neprodleně písemně informována. Písemná forma pro změnu kontaktní osoby je zachována taktéž při využití emailové komunikace na zde uvedené adresy. Účinnost změny nastává okamžikem doručení písemného ozn</w:t>
      </w:r>
      <w:r w:rsidR="001E4C33" w:rsidRPr="00A21F75">
        <w:rPr>
          <w:rFonts w:ascii="Arial" w:hAnsi="Arial" w:cs="Arial"/>
          <w:sz w:val="22"/>
          <w:szCs w:val="22"/>
        </w:rPr>
        <w:t>ámení příslušné smluvní straně.</w:t>
      </w:r>
    </w:p>
    <w:p w14:paraId="02016F36" w14:textId="0CBBC5D6" w:rsidR="00B05551" w:rsidRDefault="00B05551" w:rsidP="0017391A">
      <w:pPr>
        <w:pStyle w:val="Odstavecseseznamem"/>
        <w:numPr>
          <w:ilvl w:val="0"/>
          <w:numId w:val="13"/>
        </w:numPr>
        <w:spacing w:after="120"/>
        <w:jc w:val="both"/>
        <w:rPr>
          <w:rFonts w:ascii="Arial" w:hAnsi="Arial" w:cs="Arial"/>
          <w:sz w:val="22"/>
          <w:szCs w:val="22"/>
        </w:rPr>
      </w:pPr>
      <w:r w:rsidRPr="00A21F75">
        <w:rPr>
          <w:rFonts w:ascii="Arial" w:hAnsi="Arial" w:cs="Arial"/>
          <w:sz w:val="22"/>
          <w:szCs w:val="22"/>
        </w:rPr>
        <w:t xml:space="preserve">Tato </w:t>
      </w:r>
      <w:r w:rsidR="00B92F4C">
        <w:rPr>
          <w:rFonts w:ascii="Arial" w:hAnsi="Arial" w:cs="Arial"/>
          <w:sz w:val="22"/>
          <w:szCs w:val="22"/>
        </w:rPr>
        <w:t>Dohoda</w:t>
      </w:r>
      <w:r w:rsidRPr="00A21F75">
        <w:rPr>
          <w:rFonts w:ascii="Arial" w:hAnsi="Arial" w:cs="Arial"/>
          <w:sz w:val="22"/>
          <w:szCs w:val="22"/>
        </w:rPr>
        <w:t xml:space="preserve"> je vyhotovena ve dvou stejnopisech s platností originálu, z nichž jedno vyhotovení obdrží Objednatel a jedno vyhotovení obdrží Dodavatel.</w:t>
      </w:r>
    </w:p>
    <w:p w14:paraId="1AA1479C" w14:textId="77777777" w:rsidR="007C533C" w:rsidRPr="00A21F75" w:rsidRDefault="007C533C" w:rsidP="0017391A">
      <w:pPr>
        <w:pStyle w:val="Odstavecseseznamem"/>
        <w:spacing w:after="120"/>
        <w:ind w:left="360"/>
        <w:jc w:val="both"/>
        <w:rPr>
          <w:rFonts w:ascii="Arial" w:hAnsi="Arial" w:cs="Arial"/>
          <w:sz w:val="22"/>
          <w:szCs w:val="22"/>
        </w:rPr>
      </w:pPr>
    </w:p>
    <w:p w14:paraId="0C141DA6" w14:textId="049B6A39" w:rsidR="00B05551" w:rsidRDefault="00BC3939" w:rsidP="0017391A">
      <w:pPr>
        <w:pStyle w:val="Odstavecseseznamem"/>
        <w:numPr>
          <w:ilvl w:val="0"/>
          <w:numId w:val="13"/>
        </w:numPr>
        <w:spacing w:after="120"/>
        <w:jc w:val="both"/>
        <w:rPr>
          <w:rFonts w:ascii="Arial" w:hAnsi="Arial" w:cs="Arial"/>
          <w:sz w:val="22"/>
          <w:szCs w:val="22"/>
        </w:rPr>
      </w:pPr>
      <w:r>
        <w:rPr>
          <w:rFonts w:ascii="Arial" w:hAnsi="Arial" w:cs="Arial"/>
          <w:sz w:val="22"/>
          <w:szCs w:val="22"/>
        </w:rPr>
        <w:t>Dohoda</w:t>
      </w:r>
      <w:r w:rsidR="00B05551" w:rsidRPr="00A21F75">
        <w:rPr>
          <w:rFonts w:ascii="Arial" w:hAnsi="Arial" w:cs="Arial"/>
          <w:sz w:val="22"/>
          <w:szCs w:val="22"/>
        </w:rPr>
        <w:t xml:space="preserve"> může být měněna a doplňována pouze formou písem</w:t>
      </w:r>
      <w:r w:rsidR="0054692A">
        <w:rPr>
          <w:rFonts w:ascii="Arial" w:hAnsi="Arial" w:cs="Arial"/>
          <w:sz w:val="22"/>
          <w:szCs w:val="22"/>
        </w:rPr>
        <w:t>ných dodatků podepsaných oběma s</w:t>
      </w:r>
      <w:r w:rsidR="00B05551" w:rsidRPr="00A21F75">
        <w:rPr>
          <w:rFonts w:ascii="Arial" w:hAnsi="Arial" w:cs="Arial"/>
          <w:sz w:val="22"/>
          <w:szCs w:val="22"/>
        </w:rPr>
        <w:t>mluvními stranami.</w:t>
      </w:r>
    </w:p>
    <w:p w14:paraId="54EC8845" w14:textId="77777777" w:rsidR="007C533C" w:rsidRPr="007C533C" w:rsidRDefault="007C533C" w:rsidP="0017391A">
      <w:pPr>
        <w:pStyle w:val="Odstavecseseznamem"/>
        <w:spacing w:after="120"/>
        <w:rPr>
          <w:rFonts w:ascii="Arial" w:hAnsi="Arial" w:cs="Arial"/>
          <w:sz w:val="22"/>
          <w:szCs w:val="22"/>
        </w:rPr>
      </w:pPr>
    </w:p>
    <w:p w14:paraId="7AC2112A" w14:textId="547CB964" w:rsidR="00B05551" w:rsidRDefault="00B05551" w:rsidP="0017391A">
      <w:pPr>
        <w:pStyle w:val="Odstavecseseznamem"/>
        <w:numPr>
          <w:ilvl w:val="0"/>
          <w:numId w:val="13"/>
        </w:numPr>
        <w:spacing w:after="120"/>
        <w:jc w:val="both"/>
        <w:rPr>
          <w:rFonts w:ascii="Arial" w:hAnsi="Arial" w:cs="Arial"/>
          <w:sz w:val="22"/>
          <w:szCs w:val="22"/>
        </w:rPr>
      </w:pPr>
      <w:r w:rsidRPr="00A21F75">
        <w:rPr>
          <w:rFonts w:ascii="Arial" w:hAnsi="Arial" w:cs="Arial"/>
          <w:sz w:val="22"/>
          <w:szCs w:val="22"/>
        </w:rPr>
        <w:t xml:space="preserve">Pokud se jakékoliv ustanovení </w:t>
      </w:r>
      <w:r w:rsidR="00B92F4C">
        <w:rPr>
          <w:rFonts w:ascii="Arial" w:hAnsi="Arial" w:cs="Arial"/>
          <w:sz w:val="22"/>
          <w:szCs w:val="22"/>
        </w:rPr>
        <w:t>Dohody</w:t>
      </w:r>
      <w:r w:rsidRPr="00A21F75">
        <w:rPr>
          <w:rFonts w:ascii="Arial" w:hAnsi="Arial" w:cs="Arial"/>
          <w:sz w:val="22"/>
          <w:szCs w:val="22"/>
        </w:rPr>
        <w:t xml:space="preserve"> stane neplatným, právně neúčinným nebo nevymahatelným, zůstanou zbývající ustanovení v plné platnosti a účinnosti. Smluvní strany se dohodly nahradit neplatné, právně neúčinné a nevymahatelné ustanovení takovými platnými, právně účinnými a vymahatelnými ustanoveními, jež se svým významem co nejvíce přiblíží smyslu a účelu dotčených ustanovení.</w:t>
      </w:r>
    </w:p>
    <w:p w14:paraId="3A1CE418" w14:textId="77777777" w:rsidR="007C533C" w:rsidRPr="007C533C" w:rsidRDefault="007C533C" w:rsidP="0017391A">
      <w:pPr>
        <w:pStyle w:val="Odstavecseseznamem"/>
        <w:spacing w:after="120"/>
        <w:rPr>
          <w:rFonts w:ascii="Arial" w:hAnsi="Arial" w:cs="Arial"/>
          <w:sz w:val="22"/>
          <w:szCs w:val="22"/>
        </w:rPr>
      </w:pPr>
    </w:p>
    <w:p w14:paraId="0219815F" w14:textId="33E6C66E" w:rsidR="00B05551" w:rsidRDefault="00B05551" w:rsidP="0017391A">
      <w:pPr>
        <w:pStyle w:val="Odstavecseseznamem"/>
        <w:numPr>
          <w:ilvl w:val="0"/>
          <w:numId w:val="13"/>
        </w:numPr>
        <w:spacing w:after="120"/>
        <w:jc w:val="both"/>
        <w:rPr>
          <w:rFonts w:ascii="Arial" w:hAnsi="Arial" w:cs="Arial"/>
          <w:sz w:val="22"/>
          <w:szCs w:val="22"/>
        </w:rPr>
      </w:pPr>
      <w:r w:rsidRPr="00A21F75">
        <w:rPr>
          <w:rFonts w:ascii="Arial" w:hAnsi="Arial" w:cs="Arial"/>
          <w:sz w:val="22"/>
          <w:szCs w:val="22"/>
        </w:rPr>
        <w:t xml:space="preserve">Smluvní strany tímto prohlašují a potvrzují, že tato </w:t>
      </w:r>
      <w:r w:rsidR="00B92F4C">
        <w:rPr>
          <w:rFonts w:ascii="Arial" w:hAnsi="Arial" w:cs="Arial"/>
          <w:sz w:val="22"/>
          <w:szCs w:val="22"/>
        </w:rPr>
        <w:t>Dohoda</w:t>
      </w:r>
      <w:r w:rsidRPr="00A21F75">
        <w:rPr>
          <w:rFonts w:ascii="Arial" w:hAnsi="Arial" w:cs="Arial"/>
          <w:sz w:val="22"/>
          <w:szCs w:val="22"/>
        </w:rPr>
        <w:t xml:space="preserve"> byla uzavřena na základě vzájemné dohody, a to svobodně, vážně a určitě, nikoliv v tísni za nápadně nevýhodných podmínek jakéhokoli druhu, a na důkaz toho připojují Smluvní strany své podpisy.</w:t>
      </w:r>
    </w:p>
    <w:p w14:paraId="141B39B4" w14:textId="77777777" w:rsidR="007C533C" w:rsidRPr="007C533C" w:rsidRDefault="007C533C" w:rsidP="0017391A">
      <w:pPr>
        <w:pStyle w:val="Odstavecseseznamem"/>
        <w:spacing w:after="120"/>
        <w:rPr>
          <w:rFonts w:ascii="Arial" w:hAnsi="Arial" w:cs="Arial"/>
          <w:sz w:val="22"/>
          <w:szCs w:val="22"/>
        </w:rPr>
      </w:pPr>
    </w:p>
    <w:p w14:paraId="30812228" w14:textId="3207A756" w:rsidR="00370B2F" w:rsidRPr="00A21F75" w:rsidRDefault="00370B2F" w:rsidP="0017391A">
      <w:pPr>
        <w:pStyle w:val="Odstavecseseznamem"/>
        <w:widowControl w:val="0"/>
        <w:numPr>
          <w:ilvl w:val="0"/>
          <w:numId w:val="13"/>
        </w:numPr>
        <w:autoSpaceDE w:val="0"/>
        <w:autoSpaceDN w:val="0"/>
        <w:adjustRightInd w:val="0"/>
        <w:spacing w:after="120"/>
        <w:contextualSpacing w:val="0"/>
        <w:jc w:val="both"/>
        <w:rPr>
          <w:rFonts w:ascii="Arial" w:hAnsi="Arial" w:cs="Arial"/>
          <w:sz w:val="22"/>
          <w:szCs w:val="22"/>
        </w:rPr>
      </w:pPr>
      <w:r w:rsidRPr="00A21F75">
        <w:rPr>
          <w:rFonts w:ascii="Arial" w:hAnsi="Arial" w:cs="Arial"/>
          <w:sz w:val="22"/>
          <w:szCs w:val="22"/>
        </w:rPr>
        <w:t>Nedílnou součástí této Dohody jsou:</w:t>
      </w:r>
    </w:p>
    <w:p w14:paraId="25F709B6" w14:textId="77777777" w:rsidR="00FA75A9" w:rsidRPr="00D22838" w:rsidRDefault="00FA75A9" w:rsidP="00E21DDC">
      <w:pPr>
        <w:widowControl w:val="0"/>
        <w:autoSpaceDE w:val="0"/>
        <w:autoSpaceDN w:val="0"/>
        <w:adjustRightInd w:val="0"/>
        <w:rPr>
          <w:rFonts w:ascii="Arial" w:hAnsi="Arial" w:cs="Arial"/>
          <w:sz w:val="22"/>
          <w:szCs w:val="22"/>
          <w:u w:val="single"/>
        </w:rPr>
      </w:pPr>
    </w:p>
    <w:p w14:paraId="54D635B3" w14:textId="674D926B" w:rsidR="00762750" w:rsidRPr="00D22838" w:rsidRDefault="00762750" w:rsidP="00E21DDC">
      <w:pPr>
        <w:widowControl w:val="0"/>
        <w:autoSpaceDE w:val="0"/>
        <w:autoSpaceDN w:val="0"/>
        <w:adjustRightInd w:val="0"/>
        <w:rPr>
          <w:rFonts w:ascii="Arial" w:hAnsi="Arial" w:cs="Arial"/>
          <w:sz w:val="22"/>
          <w:szCs w:val="22"/>
          <w:u w:val="single"/>
        </w:rPr>
      </w:pPr>
      <w:r w:rsidRPr="00D22838">
        <w:rPr>
          <w:rFonts w:ascii="Arial" w:hAnsi="Arial" w:cs="Arial"/>
          <w:sz w:val="22"/>
          <w:szCs w:val="22"/>
          <w:u w:val="single"/>
        </w:rPr>
        <w:t>Přílohy:</w:t>
      </w:r>
    </w:p>
    <w:p w14:paraId="6CF7E404" w14:textId="77777777" w:rsidR="00F40378" w:rsidRPr="00D22838" w:rsidRDefault="00F40378" w:rsidP="00907514">
      <w:pPr>
        <w:widowControl w:val="0"/>
        <w:autoSpaceDE w:val="0"/>
        <w:autoSpaceDN w:val="0"/>
        <w:adjustRightInd w:val="0"/>
        <w:rPr>
          <w:rFonts w:ascii="Arial" w:hAnsi="Arial" w:cs="Arial"/>
          <w:sz w:val="22"/>
          <w:szCs w:val="22"/>
        </w:rPr>
      </w:pPr>
    </w:p>
    <w:p w14:paraId="4673E358" w14:textId="61BEB0CC" w:rsidR="00762750" w:rsidRPr="00D22838" w:rsidRDefault="00EA5418" w:rsidP="00907514">
      <w:pPr>
        <w:widowControl w:val="0"/>
        <w:autoSpaceDE w:val="0"/>
        <w:autoSpaceDN w:val="0"/>
        <w:adjustRightInd w:val="0"/>
        <w:rPr>
          <w:rFonts w:ascii="Arial" w:hAnsi="Arial" w:cs="Arial"/>
          <w:sz w:val="22"/>
          <w:szCs w:val="22"/>
        </w:rPr>
      </w:pPr>
      <w:r w:rsidRPr="00D22838">
        <w:rPr>
          <w:rFonts w:ascii="Arial" w:hAnsi="Arial" w:cs="Arial"/>
          <w:sz w:val="22"/>
          <w:szCs w:val="22"/>
        </w:rPr>
        <w:t xml:space="preserve">Příloha č. 1 – </w:t>
      </w:r>
      <w:r w:rsidR="007269E0" w:rsidRPr="00D22838">
        <w:rPr>
          <w:rFonts w:ascii="Arial" w:hAnsi="Arial" w:cs="Arial"/>
          <w:sz w:val="22"/>
          <w:szCs w:val="22"/>
        </w:rPr>
        <w:t xml:space="preserve">Specifikace </w:t>
      </w:r>
      <w:r w:rsidR="006D3AA5">
        <w:rPr>
          <w:rFonts w:ascii="Arial" w:hAnsi="Arial" w:cs="Arial"/>
          <w:sz w:val="22"/>
          <w:szCs w:val="22"/>
        </w:rPr>
        <w:t>požadovaných</w:t>
      </w:r>
      <w:r w:rsidR="007269E0" w:rsidRPr="00D22838">
        <w:rPr>
          <w:rFonts w:ascii="Arial" w:hAnsi="Arial" w:cs="Arial"/>
          <w:sz w:val="22"/>
          <w:szCs w:val="22"/>
        </w:rPr>
        <w:t xml:space="preserve"> služeb</w:t>
      </w:r>
    </w:p>
    <w:p w14:paraId="1C615F20" w14:textId="535C8EBD" w:rsidR="00562D96" w:rsidRDefault="00F40378" w:rsidP="00907514">
      <w:pPr>
        <w:widowControl w:val="0"/>
        <w:autoSpaceDE w:val="0"/>
        <w:autoSpaceDN w:val="0"/>
        <w:adjustRightInd w:val="0"/>
        <w:rPr>
          <w:rFonts w:ascii="Arial" w:hAnsi="Arial" w:cs="Arial"/>
          <w:sz w:val="22"/>
          <w:szCs w:val="22"/>
        </w:rPr>
      </w:pPr>
      <w:r w:rsidRPr="00D22838">
        <w:rPr>
          <w:rFonts w:ascii="Arial" w:hAnsi="Arial" w:cs="Arial"/>
          <w:sz w:val="22"/>
          <w:szCs w:val="22"/>
        </w:rPr>
        <w:t>Příl</w:t>
      </w:r>
      <w:r w:rsidR="00EA5418" w:rsidRPr="00D22838">
        <w:rPr>
          <w:rFonts w:ascii="Arial" w:hAnsi="Arial" w:cs="Arial"/>
          <w:sz w:val="22"/>
          <w:szCs w:val="22"/>
        </w:rPr>
        <w:t>oha č. 2</w:t>
      </w:r>
      <w:r w:rsidR="00B324F7" w:rsidRPr="00D22838">
        <w:rPr>
          <w:rFonts w:ascii="Arial" w:hAnsi="Arial" w:cs="Arial"/>
          <w:sz w:val="22"/>
          <w:szCs w:val="22"/>
        </w:rPr>
        <w:t xml:space="preserve"> – </w:t>
      </w:r>
      <w:r w:rsidR="00DF65C5">
        <w:rPr>
          <w:rFonts w:ascii="Arial" w:hAnsi="Arial" w:cs="Arial"/>
          <w:sz w:val="22"/>
          <w:szCs w:val="22"/>
        </w:rPr>
        <w:t>Systémová podpora</w:t>
      </w:r>
      <w:r w:rsidR="00562D96" w:rsidRPr="00D22838">
        <w:rPr>
          <w:rFonts w:ascii="Arial" w:hAnsi="Arial" w:cs="Arial"/>
          <w:sz w:val="22"/>
          <w:szCs w:val="22"/>
        </w:rPr>
        <w:t xml:space="preserve"> </w:t>
      </w:r>
    </w:p>
    <w:p w14:paraId="4315F8FB" w14:textId="059F36D6" w:rsidR="002C0AC4" w:rsidRPr="00D22838" w:rsidRDefault="002C0AC4" w:rsidP="00D97409">
      <w:pPr>
        <w:widowControl w:val="0"/>
        <w:autoSpaceDE w:val="0"/>
        <w:autoSpaceDN w:val="0"/>
        <w:adjustRightInd w:val="0"/>
        <w:ind w:left="1418" w:hanging="1418"/>
        <w:rPr>
          <w:rFonts w:ascii="Arial" w:hAnsi="Arial" w:cs="Arial"/>
          <w:sz w:val="22"/>
          <w:szCs w:val="22"/>
        </w:rPr>
      </w:pPr>
      <w:r>
        <w:rPr>
          <w:rFonts w:ascii="Arial" w:hAnsi="Arial" w:cs="Arial"/>
          <w:sz w:val="22"/>
          <w:szCs w:val="22"/>
        </w:rPr>
        <w:t xml:space="preserve">Příloha č. 3 </w:t>
      </w:r>
      <w:r w:rsidRPr="00D22838">
        <w:rPr>
          <w:rFonts w:ascii="Arial" w:hAnsi="Arial" w:cs="Arial"/>
          <w:sz w:val="22"/>
          <w:szCs w:val="22"/>
        </w:rPr>
        <w:t>–</w:t>
      </w:r>
      <w:r>
        <w:rPr>
          <w:rFonts w:ascii="Arial" w:hAnsi="Arial" w:cs="Arial"/>
          <w:sz w:val="22"/>
          <w:szCs w:val="22"/>
        </w:rPr>
        <w:t xml:space="preserve"> Seznam členů týmu</w:t>
      </w:r>
      <w:r w:rsidR="00D97409">
        <w:rPr>
          <w:rFonts w:ascii="Arial" w:hAnsi="Arial" w:cs="Arial"/>
          <w:sz w:val="22"/>
          <w:szCs w:val="22"/>
        </w:rPr>
        <w:t xml:space="preserve"> </w:t>
      </w:r>
      <w:r w:rsidR="00D97409" w:rsidRPr="00D97409">
        <w:rPr>
          <w:rFonts w:ascii="Arial" w:hAnsi="Arial" w:cs="Arial"/>
          <w:i/>
          <w:sz w:val="22"/>
          <w:szCs w:val="22"/>
          <w:highlight w:val="yellow"/>
        </w:rPr>
        <w:t>(bude přiloženo v souladu s nabídkou účastníka zadávacího řízení)</w:t>
      </w:r>
      <w:bookmarkStart w:id="2" w:name="_GoBack"/>
      <w:bookmarkEnd w:id="2"/>
    </w:p>
    <w:p w14:paraId="76BE31B0" w14:textId="76EA72B9" w:rsidR="00C74209" w:rsidRPr="00D22838" w:rsidRDefault="00C74209" w:rsidP="00907514">
      <w:pPr>
        <w:widowControl w:val="0"/>
        <w:autoSpaceDE w:val="0"/>
        <w:autoSpaceDN w:val="0"/>
        <w:adjustRightInd w:val="0"/>
        <w:rPr>
          <w:rFonts w:ascii="Arial" w:hAnsi="Arial" w:cs="Arial"/>
          <w:sz w:val="22"/>
          <w:szCs w:val="22"/>
        </w:rPr>
      </w:pPr>
    </w:p>
    <w:p w14:paraId="1E6251C2" w14:textId="77777777" w:rsidR="00FA75A9" w:rsidRPr="00D22838" w:rsidRDefault="00FA75A9" w:rsidP="00907514">
      <w:pPr>
        <w:widowControl w:val="0"/>
        <w:autoSpaceDE w:val="0"/>
        <w:autoSpaceDN w:val="0"/>
        <w:adjustRightInd w:val="0"/>
        <w:rPr>
          <w:rFonts w:ascii="Arial" w:hAnsi="Arial" w:cs="Arial"/>
          <w:sz w:val="22"/>
          <w:szCs w:val="22"/>
        </w:rPr>
      </w:pPr>
    </w:p>
    <w:p w14:paraId="0121A23C" w14:textId="77777777" w:rsidR="00FA75A9" w:rsidRPr="00D22838" w:rsidRDefault="00FA75A9" w:rsidP="00907514">
      <w:pPr>
        <w:widowControl w:val="0"/>
        <w:autoSpaceDE w:val="0"/>
        <w:autoSpaceDN w:val="0"/>
        <w:adjustRightInd w:val="0"/>
        <w:rPr>
          <w:rFonts w:ascii="Arial" w:hAnsi="Arial" w:cs="Arial"/>
          <w:sz w:val="22"/>
          <w:szCs w:val="22"/>
        </w:rPr>
      </w:pPr>
    </w:p>
    <w:p w14:paraId="13500658" w14:textId="77777777" w:rsidR="00D40314" w:rsidRPr="00D22838" w:rsidRDefault="00D40314" w:rsidP="00907514">
      <w:pPr>
        <w:widowControl w:val="0"/>
        <w:autoSpaceDE w:val="0"/>
        <w:autoSpaceDN w:val="0"/>
        <w:adjustRightInd w:val="0"/>
        <w:rPr>
          <w:rFonts w:ascii="Arial" w:hAnsi="Arial" w:cs="Arial"/>
          <w:sz w:val="22"/>
          <w:szCs w:val="22"/>
        </w:rPr>
        <w:sectPr w:rsidR="00D40314" w:rsidRPr="00D22838" w:rsidSect="00967BD6">
          <w:type w:val="continuous"/>
          <w:pgSz w:w="11906" w:h="16838"/>
          <w:pgMar w:top="1531" w:right="992" w:bottom="1418" w:left="1418" w:header="709" w:footer="709" w:gutter="0"/>
          <w:cols w:space="708"/>
          <w:docGrid w:linePitch="360"/>
        </w:sectPr>
      </w:pPr>
    </w:p>
    <w:p w14:paraId="242FB11C" w14:textId="5123F629" w:rsidR="00C74209" w:rsidRPr="00D22838" w:rsidRDefault="00FF54DC" w:rsidP="009A1E76">
      <w:pPr>
        <w:widowControl w:val="0"/>
        <w:autoSpaceDE w:val="0"/>
        <w:autoSpaceDN w:val="0"/>
        <w:adjustRightInd w:val="0"/>
        <w:rPr>
          <w:rFonts w:ascii="Arial" w:hAnsi="Arial" w:cs="Arial"/>
          <w:sz w:val="22"/>
          <w:szCs w:val="22"/>
        </w:rPr>
      </w:pPr>
      <w:r w:rsidRPr="00D22838">
        <w:rPr>
          <w:rFonts w:ascii="Arial" w:hAnsi="Arial" w:cs="Arial"/>
          <w:sz w:val="22"/>
          <w:szCs w:val="22"/>
        </w:rPr>
        <w:t> </w:t>
      </w:r>
      <w:r w:rsidR="00B324F7" w:rsidRPr="00D22838">
        <w:rPr>
          <w:rFonts w:ascii="Arial" w:hAnsi="Arial" w:cs="Arial"/>
          <w:sz w:val="22"/>
          <w:szCs w:val="22"/>
        </w:rPr>
        <w:t>Pra</w:t>
      </w:r>
      <w:r w:rsidRPr="00D22838">
        <w:rPr>
          <w:rFonts w:ascii="Arial" w:hAnsi="Arial" w:cs="Arial"/>
          <w:sz w:val="22"/>
          <w:szCs w:val="22"/>
        </w:rPr>
        <w:t>ha,</w:t>
      </w:r>
      <w:r w:rsidR="00741755" w:rsidRPr="00D22838">
        <w:rPr>
          <w:rFonts w:ascii="Arial" w:hAnsi="Arial" w:cs="Arial"/>
          <w:sz w:val="22"/>
          <w:szCs w:val="22"/>
        </w:rPr>
        <w:t xml:space="preserve"> </w:t>
      </w:r>
      <w:r w:rsidR="00827B0F" w:rsidRPr="00D22838">
        <w:rPr>
          <w:rFonts w:ascii="Arial" w:hAnsi="Arial" w:cs="Arial"/>
          <w:sz w:val="22"/>
          <w:szCs w:val="22"/>
        </w:rPr>
        <w:t>dne:</w:t>
      </w:r>
      <w:r w:rsidR="00DF7AB7" w:rsidRPr="00D22838">
        <w:rPr>
          <w:rFonts w:ascii="Arial" w:hAnsi="Arial" w:cs="Arial"/>
          <w:sz w:val="22"/>
          <w:szCs w:val="22"/>
        </w:rPr>
        <w:t xml:space="preserve"> …………</w:t>
      </w:r>
      <w:r w:rsidR="00562D96" w:rsidRPr="00D22838">
        <w:rPr>
          <w:rFonts w:ascii="Arial" w:hAnsi="Arial" w:cs="Arial"/>
          <w:sz w:val="22"/>
          <w:szCs w:val="22"/>
        </w:rPr>
        <w:t>………….</w:t>
      </w:r>
      <w:r w:rsidR="00DF7AB7" w:rsidRPr="00D22838">
        <w:rPr>
          <w:rFonts w:ascii="Arial" w:hAnsi="Arial" w:cs="Arial"/>
          <w:sz w:val="22"/>
          <w:szCs w:val="22"/>
        </w:rPr>
        <w:tab/>
      </w:r>
      <w:r w:rsidR="00DF7AB7" w:rsidRPr="00D22838">
        <w:rPr>
          <w:rFonts w:ascii="Arial" w:hAnsi="Arial" w:cs="Arial"/>
          <w:sz w:val="22"/>
          <w:szCs w:val="22"/>
        </w:rPr>
        <w:tab/>
      </w:r>
    </w:p>
    <w:p w14:paraId="1E899316" w14:textId="6161B176" w:rsidR="00C74209" w:rsidRPr="00D22838" w:rsidRDefault="00C74209" w:rsidP="00BA71D7">
      <w:pPr>
        <w:widowControl w:val="0"/>
        <w:autoSpaceDE w:val="0"/>
        <w:autoSpaceDN w:val="0"/>
        <w:adjustRightInd w:val="0"/>
        <w:jc w:val="center"/>
        <w:rPr>
          <w:rFonts w:ascii="Arial" w:hAnsi="Arial" w:cs="Arial"/>
          <w:sz w:val="22"/>
          <w:szCs w:val="22"/>
        </w:rPr>
      </w:pPr>
    </w:p>
    <w:p w14:paraId="1E3B2E28" w14:textId="5E93F1F6" w:rsidR="008D5CD0" w:rsidRPr="00D22838" w:rsidRDefault="008D5CD0" w:rsidP="002C507E">
      <w:pPr>
        <w:rPr>
          <w:rFonts w:ascii="Arial" w:hAnsi="Arial" w:cs="Arial"/>
          <w:sz w:val="22"/>
          <w:szCs w:val="22"/>
        </w:rPr>
      </w:pPr>
      <w:r w:rsidRPr="00D22838">
        <w:rPr>
          <w:rFonts w:ascii="Arial" w:hAnsi="Arial" w:cs="Arial"/>
          <w:sz w:val="22"/>
          <w:szCs w:val="22"/>
        </w:rPr>
        <w:t xml:space="preserve">Za </w:t>
      </w:r>
      <w:r w:rsidR="0054692A">
        <w:rPr>
          <w:rFonts w:ascii="Arial" w:hAnsi="Arial" w:cs="Arial"/>
          <w:sz w:val="22"/>
          <w:szCs w:val="22"/>
        </w:rPr>
        <w:t>Objednatele</w:t>
      </w:r>
      <w:r w:rsidR="00DF75FB">
        <w:rPr>
          <w:rFonts w:ascii="Arial" w:hAnsi="Arial" w:cs="Arial"/>
          <w:sz w:val="22"/>
          <w:szCs w:val="22"/>
        </w:rPr>
        <w:tab/>
      </w:r>
      <w:r w:rsidR="00DF75FB">
        <w:rPr>
          <w:rFonts w:ascii="Arial" w:hAnsi="Arial" w:cs="Arial"/>
          <w:sz w:val="22"/>
          <w:szCs w:val="22"/>
        </w:rPr>
        <w:tab/>
      </w:r>
      <w:r w:rsidR="00DF75FB">
        <w:rPr>
          <w:rFonts w:ascii="Arial" w:hAnsi="Arial" w:cs="Arial"/>
          <w:sz w:val="22"/>
          <w:szCs w:val="22"/>
        </w:rPr>
        <w:tab/>
      </w:r>
      <w:r w:rsidR="00DF75FB">
        <w:rPr>
          <w:rFonts w:ascii="Arial" w:hAnsi="Arial" w:cs="Arial"/>
          <w:sz w:val="22"/>
          <w:szCs w:val="22"/>
        </w:rPr>
        <w:tab/>
      </w:r>
    </w:p>
    <w:p w14:paraId="7BE1F94B" w14:textId="1D7ACE47" w:rsidR="00FA75A9" w:rsidRPr="00D22838" w:rsidRDefault="00FA75A9" w:rsidP="00BA71D7">
      <w:pPr>
        <w:widowControl w:val="0"/>
        <w:autoSpaceDE w:val="0"/>
        <w:autoSpaceDN w:val="0"/>
        <w:adjustRightInd w:val="0"/>
        <w:jc w:val="center"/>
        <w:rPr>
          <w:rFonts w:ascii="Arial" w:hAnsi="Arial" w:cs="Arial"/>
          <w:sz w:val="22"/>
          <w:szCs w:val="22"/>
        </w:rPr>
      </w:pPr>
    </w:p>
    <w:p w14:paraId="0B483464" w14:textId="49BEC541" w:rsidR="00FA75A9" w:rsidRDefault="00FA75A9" w:rsidP="00BA71D7">
      <w:pPr>
        <w:widowControl w:val="0"/>
        <w:autoSpaceDE w:val="0"/>
        <w:autoSpaceDN w:val="0"/>
        <w:adjustRightInd w:val="0"/>
        <w:jc w:val="center"/>
        <w:rPr>
          <w:rFonts w:ascii="Arial" w:hAnsi="Arial" w:cs="Arial"/>
          <w:sz w:val="22"/>
          <w:szCs w:val="22"/>
        </w:rPr>
      </w:pPr>
    </w:p>
    <w:p w14:paraId="36A21B44" w14:textId="77777777" w:rsidR="008D5CD0" w:rsidRPr="00D22838" w:rsidRDefault="008D5CD0" w:rsidP="00BA71D7">
      <w:pPr>
        <w:widowControl w:val="0"/>
        <w:autoSpaceDE w:val="0"/>
        <w:autoSpaceDN w:val="0"/>
        <w:adjustRightInd w:val="0"/>
        <w:jc w:val="center"/>
        <w:rPr>
          <w:rFonts w:ascii="Arial" w:hAnsi="Arial" w:cs="Arial"/>
          <w:sz w:val="22"/>
          <w:szCs w:val="22"/>
        </w:rPr>
      </w:pPr>
    </w:p>
    <w:p w14:paraId="17B83902" w14:textId="407FE32A" w:rsidR="00C74209" w:rsidRPr="00D22838" w:rsidRDefault="00C74209" w:rsidP="002C507E">
      <w:pPr>
        <w:widowControl w:val="0"/>
        <w:autoSpaceDE w:val="0"/>
        <w:autoSpaceDN w:val="0"/>
        <w:adjustRightInd w:val="0"/>
        <w:rPr>
          <w:rFonts w:ascii="Arial" w:hAnsi="Arial" w:cs="Arial"/>
          <w:b/>
          <w:sz w:val="22"/>
          <w:szCs w:val="22"/>
        </w:rPr>
      </w:pPr>
      <w:r w:rsidRPr="00D22838">
        <w:rPr>
          <w:rFonts w:ascii="Arial" w:hAnsi="Arial" w:cs="Arial"/>
          <w:b/>
          <w:sz w:val="22"/>
          <w:szCs w:val="22"/>
        </w:rPr>
        <w:t>……………………………</w:t>
      </w:r>
    </w:p>
    <w:p w14:paraId="5710589E" w14:textId="77777777" w:rsidR="00C74209" w:rsidRPr="00D22838" w:rsidRDefault="00C74209" w:rsidP="002C507E">
      <w:pPr>
        <w:widowControl w:val="0"/>
        <w:autoSpaceDE w:val="0"/>
        <w:autoSpaceDN w:val="0"/>
        <w:adjustRightInd w:val="0"/>
        <w:rPr>
          <w:rFonts w:ascii="Arial" w:hAnsi="Arial" w:cs="Arial"/>
          <w:sz w:val="22"/>
          <w:szCs w:val="22"/>
        </w:rPr>
      </w:pPr>
      <w:r w:rsidRPr="00D22838">
        <w:rPr>
          <w:rFonts w:ascii="Arial" w:hAnsi="Arial" w:cs="Arial"/>
          <w:sz w:val="22"/>
          <w:szCs w:val="22"/>
        </w:rPr>
        <w:t>Ing. Josef Diessl</w:t>
      </w:r>
    </w:p>
    <w:p w14:paraId="22432B34" w14:textId="111A42FF" w:rsidR="00907514" w:rsidRPr="00D22838" w:rsidRDefault="00CE6324" w:rsidP="002C507E">
      <w:pPr>
        <w:widowControl w:val="0"/>
        <w:autoSpaceDE w:val="0"/>
        <w:autoSpaceDN w:val="0"/>
        <w:adjustRightInd w:val="0"/>
        <w:rPr>
          <w:rFonts w:ascii="Arial" w:hAnsi="Arial" w:cs="Arial"/>
          <w:sz w:val="22"/>
          <w:szCs w:val="22"/>
        </w:rPr>
      </w:pPr>
      <w:r w:rsidRPr="00D22838">
        <w:rPr>
          <w:rFonts w:ascii="Arial" w:hAnsi="Arial" w:cs="Arial"/>
          <w:sz w:val="22"/>
          <w:szCs w:val="22"/>
        </w:rPr>
        <w:t>g</w:t>
      </w:r>
      <w:r w:rsidR="00C74209" w:rsidRPr="00D22838">
        <w:rPr>
          <w:rFonts w:ascii="Arial" w:hAnsi="Arial" w:cs="Arial"/>
          <w:sz w:val="22"/>
          <w:szCs w:val="22"/>
        </w:rPr>
        <w:t xml:space="preserve">enerální ředitel </w:t>
      </w:r>
      <w:proofErr w:type="spellStart"/>
      <w:r w:rsidR="00C74209" w:rsidRPr="00D22838">
        <w:rPr>
          <w:rFonts w:ascii="Arial" w:hAnsi="Arial" w:cs="Arial"/>
          <w:sz w:val="22"/>
          <w:szCs w:val="22"/>
        </w:rPr>
        <w:t>VoZP</w:t>
      </w:r>
      <w:proofErr w:type="spellEnd"/>
      <w:r w:rsidR="00C74209" w:rsidRPr="00D22838">
        <w:rPr>
          <w:rFonts w:ascii="Arial" w:hAnsi="Arial" w:cs="Arial"/>
          <w:sz w:val="22"/>
          <w:szCs w:val="22"/>
        </w:rPr>
        <w:t xml:space="preserve"> ČR</w:t>
      </w:r>
    </w:p>
    <w:p w14:paraId="4D6AA396" w14:textId="139CF55D" w:rsidR="00FF54DC" w:rsidRPr="00D22838" w:rsidRDefault="00FF54DC">
      <w:pPr>
        <w:rPr>
          <w:rFonts w:ascii="Arial" w:hAnsi="Arial" w:cs="Arial"/>
          <w:sz w:val="22"/>
          <w:szCs w:val="22"/>
        </w:rPr>
      </w:pPr>
    </w:p>
    <w:p w14:paraId="182FFC40" w14:textId="19258980" w:rsidR="00FF54DC" w:rsidRPr="00D22838" w:rsidRDefault="00FF54DC">
      <w:pPr>
        <w:rPr>
          <w:rFonts w:ascii="Arial" w:hAnsi="Arial" w:cs="Arial"/>
          <w:sz w:val="22"/>
          <w:szCs w:val="22"/>
        </w:rPr>
      </w:pPr>
    </w:p>
    <w:p w14:paraId="66BF4870" w14:textId="33324CFE" w:rsidR="00FA75A9" w:rsidRDefault="00FA75A9">
      <w:pPr>
        <w:rPr>
          <w:rFonts w:ascii="Arial" w:hAnsi="Arial" w:cs="Arial"/>
          <w:sz w:val="22"/>
          <w:szCs w:val="22"/>
        </w:rPr>
      </w:pPr>
    </w:p>
    <w:p w14:paraId="2BC086F0" w14:textId="77777777" w:rsidR="00507C14" w:rsidRDefault="00507C14">
      <w:pPr>
        <w:rPr>
          <w:rFonts w:ascii="Arial" w:hAnsi="Arial" w:cs="Arial"/>
          <w:sz w:val="22"/>
          <w:szCs w:val="22"/>
        </w:rPr>
      </w:pPr>
    </w:p>
    <w:p w14:paraId="31CDFFAB" w14:textId="759D9965" w:rsidR="009A1E76" w:rsidRPr="00D22838" w:rsidRDefault="009A1E76">
      <w:pPr>
        <w:rPr>
          <w:rFonts w:ascii="Arial" w:hAnsi="Arial" w:cs="Arial"/>
          <w:sz w:val="22"/>
          <w:szCs w:val="22"/>
        </w:rPr>
      </w:pPr>
      <w:r>
        <w:rPr>
          <w:rFonts w:ascii="Arial" w:hAnsi="Arial" w:cs="Arial"/>
          <w:sz w:val="22"/>
          <w:szCs w:val="22"/>
        </w:rPr>
        <w:t xml:space="preserve">Praha, dne: ……………………. </w:t>
      </w:r>
    </w:p>
    <w:p w14:paraId="0A2EA32E" w14:textId="7252A0D8" w:rsidR="00FA75A9" w:rsidRDefault="00FA75A9">
      <w:pPr>
        <w:rPr>
          <w:rFonts w:ascii="Arial" w:hAnsi="Arial" w:cs="Arial"/>
          <w:sz w:val="22"/>
          <w:szCs w:val="22"/>
        </w:rPr>
      </w:pPr>
    </w:p>
    <w:p w14:paraId="66F17C1F" w14:textId="3AE4CB6A" w:rsidR="009A1E76" w:rsidRPr="00D22838" w:rsidRDefault="009A1E76">
      <w:pPr>
        <w:rPr>
          <w:rFonts w:ascii="Arial" w:hAnsi="Arial" w:cs="Arial"/>
          <w:sz w:val="22"/>
          <w:szCs w:val="22"/>
        </w:rPr>
      </w:pPr>
      <w:r>
        <w:rPr>
          <w:rFonts w:ascii="Arial" w:hAnsi="Arial" w:cs="Arial"/>
          <w:sz w:val="22"/>
          <w:szCs w:val="22"/>
        </w:rPr>
        <w:t>Za Dodavatele</w:t>
      </w:r>
    </w:p>
    <w:p w14:paraId="43F9B967" w14:textId="23EAEEEF" w:rsidR="00FA75A9" w:rsidRPr="00D22838" w:rsidRDefault="00FA75A9">
      <w:pPr>
        <w:rPr>
          <w:rFonts w:ascii="Arial" w:hAnsi="Arial" w:cs="Arial"/>
          <w:sz w:val="22"/>
          <w:szCs w:val="22"/>
        </w:rPr>
      </w:pPr>
    </w:p>
    <w:p w14:paraId="06DCFB6D" w14:textId="79557B8A" w:rsidR="00FA75A9" w:rsidRPr="00D22838" w:rsidRDefault="00FA75A9">
      <w:pPr>
        <w:rPr>
          <w:rFonts w:ascii="Arial" w:hAnsi="Arial" w:cs="Arial"/>
          <w:sz w:val="22"/>
          <w:szCs w:val="22"/>
        </w:rPr>
      </w:pPr>
    </w:p>
    <w:p w14:paraId="3A841B03" w14:textId="7BCC3571" w:rsidR="00FF54DC" w:rsidRPr="00D22838" w:rsidRDefault="00FF54DC" w:rsidP="008D5CD0">
      <w:pPr>
        <w:rPr>
          <w:rFonts w:ascii="Arial" w:hAnsi="Arial" w:cs="Arial"/>
          <w:sz w:val="22"/>
          <w:szCs w:val="22"/>
        </w:rPr>
      </w:pPr>
    </w:p>
    <w:p w14:paraId="0BD231B5" w14:textId="21455D82" w:rsidR="008D5CD0" w:rsidRPr="00D22838" w:rsidRDefault="008D5CD0" w:rsidP="00D94217">
      <w:pPr>
        <w:widowControl w:val="0"/>
        <w:autoSpaceDE w:val="0"/>
        <w:autoSpaceDN w:val="0"/>
        <w:adjustRightInd w:val="0"/>
        <w:rPr>
          <w:rFonts w:ascii="Arial" w:hAnsi="Arial" w:cs="Arial"/>
          <w:b/>
          <w:sz w:val="22"/>
          <w:szCs w:val="22"/>
        </w:rPr>
      </w:pPr>
      <w:r w:rsidRPr="00D22838">
        <w:rPr>
          <w:rFonts w:ascii="Arial" w:hAnsi="Arial" w:cs="Arial"/>
          <w:b/>
          <w:sz w:val="22"/>
          <w:szCs w:val="22"/>
        </w:rPr>
        <w:t>……………………………</w:t>
      </w:r>
    </w:p>
    <w:p w14:paraId="2359A2ED" w14:textId="77777777" w:rsidR="00FA75A9" w:rsidRPr="00D22838" w:rsidRDefault="00FA75A9" w:rsidP="00BA71D7">
      <w:pPr>
        <w:jc w:val="center"/>
        <w:rPr>
          <w:rFonts w:ascii="Arial" w:hAnsi="Arial" w:cs="Arial"/>
          <w:sz w:val="22"/>
          <w:szCs w:val="22"/>
        </w:rPr>
      </w:pPr>
    </w:p>
    <w:p w14:paraId="6A5DB00B" w14:textId="37A874BB" w:rsidR="00BA71D7" w:rsidRPr="00D22838" w:rsidRDefault="00BA71D7" w:rsidP="00BA71D7">
      <w:pPr>
        <w:jc w:val="center"/>
        <w:rPr>
          <w:rFonts w:ascii="Arial" w:hAnsi="Arial" w:cs="Arial"/>
          <w:sz w:val="22"/>
          <w:szCs w:val="22"/>
        </w:rPr>
      </w:pPr>
    </w:p>
    <w:sectPr w:rsidR="00BA71D7" w:rsidRPr="00D22838" w:rsidSect="0075088F">
      <w:type w:val="continuous"/>
      <w:pgSz w:w="11906" w:h="16838"/>
      <w:pgMar w:top="1134" w:right="1134" w:bottom="1134" w:left="1276" w:header="709" w:footer="709" w:gutter="0"/>
      <w:cols w:num="2"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9BBA0" w14:textId="77777777" w:rsidR="007806A6" w:rsidRDefault="007806A6">
      <w:r>
        <w:separator/>
      </w:r>
    </w:p>
  </w:endnote>
  <w:endnote w:type="continuationSeparator" w:id="0">
    <w:p w14:paraId="7BD2B82D" w14:textId="77777777" w:rsidR="007806A6" w:rsidRDefault="0078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2"/>
        <w:szCs w:val="22"/>
      </w:rPr>
      <w:id w:val="-92468403"/>
      <w:docPartObj>
        <w:docPartGallery w:val="Page Numbers (Bottom of Page)"/>
        <w:docPartUnique/>
      </w:docPartObj>
    </w:sdtPr>
    <w:sdtEndPr/>
    <w:sdtContent>
      <w:sdt>
        <w:sdtPr>
          <w:rPr>
            <w:rFonts w:ascii="Arial" w:hAnsi="Arial" w:cs="Arial"/>
            <w:sz w:val="22"/>
            <w:szCs w:val="22"/>
          </w:rPr>
          <w:id w:val="-769012650"/>
          <w:docPartObj>
            <w:docPartGallery w:val="Page Numbers (Top of Page)"/>
            <w:docPartUnique/>
          </w:docPartObj>
        </w:sdtPr>
        <w:sdtEndPr/>
        <w:sdtContent>
          <w:p w14:paraId="68EAACAB" w14:textId="23A3E6FC" w:rsidR="00F7208E" w:rsidRPr="00516D2D" w:rsidRDefault="00F7208E">
            <w:pPr>
              <w:pStyle w:val="Zpat"/>
              <w:jc w:val="right"/>
              <w:rPr>
                <w:rFonts w:ascii="Arial" w:hAnsi="Arial" w:cs="Arial"/>
                <w:sz w:val="22"/>
                <w:szCs w:val="22"/>
              </w:rPr>
            </w:pPr>
            <w:r w:rsidRPr="00516D2D">
              <w:rPr>
                <w:rFonts w:ascii="Arial" w:hAnsi="Arial" w:cs="Arial"/>
                <w:sz w:val="22"/>
                <w:szCs w:val="22"/>
              </w:rPr>
              <w:t xml:space="preserve">Stránka </w:t>
            </w:r>
            <w:r w:rsidRPr="00516D2D">
              <w:rPr>
                <w:rFonts w:ascii="Arial" w:hAnsi="Arial" w:cs="Arial"/>
                <w:bCs/>
                <w:sz w:val="22"/>
                <w:szCs w:val="22"/>
              </w:rPr>
              <w:fldChar w:fldCharType="begin"/>
            </w:r>
            <w:r w:rsidRPr="00516D2D">
              <w:rPr>
                <w:rFonts w:ascii="Arial" w:hAnsi="Arial" w:cs="Arial"/>
                <w:bCs/>
                <w:sz w:val="22"/>
                <w:szCs w:val="22"/>
              </w:rPr>
              <w:instrText>PAGE</w:instrText>
            </w:r>
            <w:r w:rsidRPr="00516D2D">
              <w:rPr>
                <w:rFonts w:ascii="Arial" w:hAnsi="Arial" w:cs="Arial"/>
                <w:bCs/>
                <w:sz w:val="22"/>
                <w:szCs w:val="22"/>
              </w:rPr>
              <w:fldChar w:fldCharType="separate"/>
            </w:r>
            <w:r w:rsidR="00501346">
              <w:rPr>
                <w:rFonts w:ascii="Arial" w:hAnsi="Arial" w:cs="Arial"/>
                <w:bCs/>
                <w:noProof/>
                <w:sz w:val="22"/>
                <w:szCs w:val="22"/>
              </w:rPr>
              <w:t>8</w:t>
            </w:r>
            <w:r w:rsidRPr="00516D2D">
              <w:rPr>
                <w:rFonts w:ascii="Arial" w:hAnsi="Arial" w:cs="Arial"/>
                <w:bCs/>
                <w:sz w:val="22"/>
                <w:szCs w:val="22"/>
              </w:rPr>
              <w:fldChar w:fldCharType="end"/>
            </w:r>
            <w:r w:rsidRPr="00516D2D">
              <w:rPr>
                <w:rFonts w:ascii="Arial" w:hAnsi="Arial" w:cs="Arial"/>
                <w:sz w:val="22"/>
                <w:szCs w:val="22"/>
              </w:rPr>
              <w:t xml:space="preserve"> z </w:t>
            </w:r>
            <w:r w:rsidRPr="00516D2D">
              <w:rPr>
                <w:rFonts w:ascii="Arial" w:hAnsi="Arial" w:cs="Arial"/>
                <w:bCs/>
                <w:sz w:val="22"/>
                <w:szCs w:val="22"/>
              </w:rPr>
              <w:fldChar w:fldCharType="begin"/>
            </w:r>
            <w:r w:rsidRPr="00516D2D">
              <w:rPr>
                <w:rFonts w:ascii="Arial" w:hAnsi="Arial" w:cs="Arial"/>
                <w:bCs/>
                <w:sz w:val="22"/>
                <w:szCs w:val="22"/>
              </w:rPr>
              <w:instrText>NUMPAGES</w:instrText>
            </w:r>
            <w:r w:rsidRPr="00516D2D">
              <w:rPr>
                <w:rFonts w:ascii="Arial" w:hAnsi="Arial" w:cs="Arial"/>
                <w:bCs/>
                <w:sz w:val="22"/>
                <w:szCs w:val="22"/>
              </w:rPr>
              <w:fldChar w:fldCharType="separate"/>
            </w:r>
            <w:r w:rsidR="00501346">
              <w:rPr>
                <w:rFonts w:ascii="Arial" w:hAnsi="Arial" w:cs="Arial"/>
                <w:bCs/>
                <w:noProof/>
                <w:sz w:val="22"/>
                <w:szCs w:val="22"/>
              </w:rPr>
              <w:t>8</w:t>
            </w:r>
            <w:r w:rsidRPr="00516D2D">
              <w:rPr>
                <w:rFonts w:ascii="Arial" w:hAnsi="Arial" w:cs="Arial"/>
                <w:bCs/>
                <w:sz w:val="22"/>
                <w:szCs w:val="22"/>
              </w:rPr>
              <w:fldChar w:fldCharType="end"/>
            </w:r>
          </w:p>
        </w:sdtContent>
      </w:sdt>
    </w:sdtContent>
  </w:sdt>
  <w:p w14:paraId="0DEF15CF" w14:textId="77777777" w:rsidR="00F7208E" w:rsidRDefault="00F720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DCD69" w14:textId="77777777" w:rsidR="007806A6" w:rsidRDefault="007806A6">
      <w:r>
        <w:separator/>
      </w:r>
    </w:p>
  </w:footnote>
  <w:footnote w:type="continuationSeparator" w:id="0">
    <w:p w14:paraId="7D7FB38C" w14:textId="77777777" w:rsidR="007806A6" w:rsidRDefault="00780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5DB5A" w14:textId="6E016AA1" w:rsidR="00516D2D" w:rsidRDefault="00516D2D">
    <w:pPr>
      <w:pStyle w:val="Zhlav"/>
    </w:pPr>
    <w:r w:rsidRPr="00FA5B85">
      <w:rPr>
        <w:noProof/>
      </w:rPr>
      <w:drawing>
        <wp:inline distT="0" distB="0" distL="0" distR="0" wp14:anchorId="6E8CE80C" wp14:editId="1B74E1A6">
          <wp:extent cx="2968625" cy="231775"/>
          <wp:effectExtent l="0" t="0" r="317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8625" cy="231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F11BB"/>
    <w:multiLevelType w:val="hybridMultilevel"/>
    <w:tmpl w:val="DC78853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04B666EE"/>
    <w:multiLevelType w:val="hybridMultilevel"/>
    <w:tmpl w:val="7494D3A6"/>
    <w:lvl w:ilvl="0" w:tplc="04050011">
      <w:start w:val="1"/>
      <w:numFmt w:val="decimal"/>
      <w:lvlText w:val="%1)"/>
      <w:lvlJc w:val="left"/>
      <w:pPr>
        <w:ind w:left="644" w:hanging="360"/>
      </w:pPr>
      <w:rPr>
        <w:b w:val="0"/>
        <w:i w:val="0"/>
        <w:strike w:val="0"/>
        <w:dstrike w:val="0"/>
        <w:color w:val="000000"/>
        <w:sz w:val="22"/>
        <w:szCs w:val="22"/>
        <w:u w:val="none" w:color="000000"/>
        <w:bdr w:val="none" w:sz="0" w:space="0" w:color="auto"/>
        <w:shd w:val="clear" w:color="auto" w:fill="auto"/>
        <w:vertAlign w:val="baseline"/>
      </w:rPr>
    </w:lvl>
    <w:lvl w:ilvl="1" w:tplc="04050017">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2756AE"/>
    <w:multiLevelType w:val="hybridMultilevel"/>
    <w:tmpl w:val="3216DF6E"/>
    <w:lvl w:ilvl="0" w:tplc="F006AD7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B40218"/>
    <w:multiLevelType w:val="hybridMultilevel"/>
    <w:tmpl w:val="E7C27B1C"/>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17281280"/>
    <w:multiLevelType w:val="hybridMultilevel"/>
    <w:tmpl w:val="D478914C"/>
    <w:lvl w:ilvl="0" w:tplc="48EE373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97066DC"/>
    <w:multiLevelType w:val="hybridMultilevel"/>
    <w:tmpl w:val="BE16EB76"/>
    <w:lvl w:ilvl="0" w:tplc="4B905A7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B40C29"/>
    <w:multiLevelType w:val="multilevel"/>
    <w:tmpl w:val="A4C24960"/>
    <w:lvl w:ilvl="0">
      <w:start w:val="1"/>
      <w:numFmt w:val="decimal"/>
      <w:lvlText w:val="%1."/>
      <w:lvlJc w:val="left"/>
      <w:pPr>
        <w:tabs>
          <w:tab w:val="num" w:pos="432"/>
        </w:tabs>
        <w:ind w:left="432" w:hanging="432"/>
      </w:pPr>
      <w:rPr>
        <w:rFonts w:hint="default"/>
        <w:b/>
        <w:i w:val="0"/>
        <w:sz w:val="24"/>
        <w:szCs w:val="24"/>
      </w:rPr>
    </w:lvl>
    <w:lvl w:ilvl="1">
      <w:start w:val="1"/>
      <w:numFmt w:val="decimal"/>
      <w:lvlText w:val="%1.%2"/>
      <w:lvlJc w:val="left"/>
      <w:pPr>
        <w:tabs>
          <w:tab w:val="num" w:pos="434"/>
        </w:tabs>
        <w:ind w:left="434" w:hanging="576"/>
      </w:pPr>
      <w:rPr>
        <w:rFonts w:hint="default"/>
        <w:b/>
        <w:i w:val="0"/>
        <w:sz w:val="24"/>
      </w:rPr>
    </w:lvl>
    <w:lvl w:ilvl="2">
      <w:start w:val="1"/>
      <w:numFmt w:val="decimal"/>
      <w:lvlText w:val="%1.%2.%3"/>
      <w:lvlJc w:val="left"/>
      <w:pPr>
        <w:tabs>
          <w:tab w:val="num" w:pos="578"/>
        </w:tabs>
        <w:ind w:left="578" w:hanging="720"/>
      </w:pPr>
      <w:rPr>
        <w:rFonts w:hint="default"/>
        <w:b/>
        <w:i w:val="0"/>
        <w:sz w:val="20"/>
        <w:szCs w:val="20"/>
      </w:rPr>
    </w:lvl>
    <w:lvl w:ilvl="3">
      <w:start w:val="1"/>
      <w:numFmt w:val="decimal"/>
      <w:lvlText w:val="%1.%2.%3.%4"/>
      <w:lvlJc w:val="left"/>
      <w:pPr>
        <w:tabs>
          <w:tab w:val="num" w:pos="722"/>
        </w:tabs>
        <w:ind w:left="722" w:hanging="864"/>
      </w:pPr>
      <w:rPr>
        <w:rFonts w:hint="default"/>
        <w:b/>
        <w:i w:val="0"/>
        <w:sz w:val="18"/>
      </w:rPr>
    </w:lvl>
    <w:lvl w:ilvl="4">
      <w:start w:val="1"/>
      <w:numFmt w:val="decimal"/>
      <w:pStyle w:val="Nadpis5"/>
      <w:lvlText w:val="%1.%2.%3.%4.%5"/>
      <w:lvlJc w:val="left"/>
      <w:pPr>
        <w:tabs>
          <w:tab w:val="num" w:pos="866"/>
        </w:tabs>
        <w:ind w:left="866" w:hanging="1008"/>
      </w:pPr>
      <w:rPr>
        <w:rFonts w:hint="default"/>
      </w:rPr>
    </w:lvl>
    <w:lvl w:ilvl="5">
      <w:start w:val="1"/>
      <w:numFmt w:val="decimal"/>
      <w:pStyle w:val="Nadpis6"/>
      <w:lvlText w:val="%1.%2.%3.%4.%5.%6"/>
      <w:lvlJc w:val="left"/>
      <w:pPr>
        <w:tabs>
          <w:tab w:val="num" w:pos="1010"/>
        </w:tabs>
        <w:ind w:left="1010" w:hanging="1152"/>
      </w:pPr>
      <w:rPr>
        <w:rFonts w:hint="default"/>
      </w:rPr>
    </w:lvl>
    <w:lvl w:ilvl="6">
      <w:start w:val="1"/>
      <w:numFmt w:val="decimal"/>
      <w:pStyle w:val="Nadpis7"/>
      <w:lvlText w:val="%1.%2.%3.%4.%5.%6.%7"/>
      <w:lvlJc w:val="left"/>
      <w:pPr>
        <w:tabs>
          <w:tab w:val="num" w:pos="1154"/>
        </w:tabs>
        <w:ind w:left="1154" w:hanging="1296"/>
      </w:pPr>
      <w:rPr>
        <w:rFonts w:hint="default"/>
      </w:rPr>
    </w:lvl>
    <w:lvl w:ilvl="7">
      <w:start w:val="1"/>
      <w:numFmt w:val="decimal"/>
      <w:pStyle w:val="Nadpis8"/>
      <w:lvlText w:val="%1.%2.%3.%4.%5.%6.%7.%8"/>
      <w:lvlJc w:val="left"/>
      <w:pPr>
        <w:tabs>
          <w:tab w:val="num" w:pos="1298"/>
        </w:tabs>
        <w:ind w:left="1298" w:hanging="1440"/>
      </w:pPr>
      <w:rPr>
        <w:rFonts w:hint="default"/>
      </w:rPr>
    </w:lvl>
    <w:lvl w:ilvl="8">
      <w:start w:val="1"/>
      <w:numFmt w:val="decimal"/>
      <w:pStyle w:val="Nadpis9"/>
      <w:lvlText w:val="%1.%2.%3.%4.%5.%6.%7.%8.%9"/>
      <w:lvlJc w:val="left"/>
      <w:pPr>
        <w:tabs>
          <w:tab w:val="num" w:pos="1442"/>
        </w:tabs>
        <w:ind w:left="1442" w:hanging="1584"/>
      </w:pPr>
      <w:rPr>
        <w:rFonts w:hint="default"/>
      </w:rPr>
    </w:lvl>
  </w:abstractNum>
  <w:abstractNum w:abstractNumId="7" w15:restartNumberingAfterBreak="0">
    <w:nsid w:val="2CFB520A"/>
    <w:multiLevelType w:val="hybridMultilevel"/>
    <w:tmpl w:val="105A998E"/>
    <w:lvl w:ilvl="0" w:tplc="E7AC313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DC26E4"/>
    <w:multiLevelType w:val="hybridMultilevel"/>
    <w:tmpl w:val="D21AC438"/>
    <w:lvl w:ilvl="0" w:tplc="2F36B63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60515F"/>
    <w:multiLevelType w:val="hybridMultilevel"/>
    <w:tmpl w:val="E312A722"/>
    <w:lvl w:ilvl="0" w:tplc="1602A974">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B684093"/>
    <w:multiLevelType w:val="multilevel"/>
    <w:tmpl w:val="0A8E3CB6"/>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3E464D2D"/>
    <w:multiLevelType w:val="hybridMultilevel"/>
    <w:tmpl w:val="17265580"/>
    <w:lvl w:ilvl="0" w:tplc="D2EE6E2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3A45F1"/>
    <w:multiLevelType w:val="hybridMultilevel"/>
    <w:tmpl w:val="E7901058"/>
    <w:lvl w:ilvl="0" w:tplc="0534E51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AC55C9"/>
    <w:multiLevelType w:val="hybridMultilevel"/>
    <w:tmpl w:val="A9549B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59E6246"/>
    <w:multiLevelType w:val="multilevel"/>
    <w:tmpl w:val="BC000682"/>
    <w:lvl w:ilvl="0">
      <w:start w:val="4"/>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5" w15:restartNumberingAfterBreak="0">
    <w:nsid w:val="55B137E5"/>
    <w:multiLevelType w:val="hybridMultilevel"/>
    <w:tmpl w:val="2CFE86F4"/>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5C31151C"/>
    <w:multiLevelType w:val="hybridMultilevel"/>
    <w:tmpl w:val="14AC5588"/>
    <w:lvl w:ilvl="0" w:tplc="6BE0E13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334DEE"/>
    <w:multiLevelType w:val="hybridMultilevel"/>
    <w:tmpl w:val="D03AE8F8"/>
    <w:lvl w:ilvl="0" w:tplc="87E6EFB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3B0905"/>
    <w:multiLevelType w:val="hybridMultilevel"/>
    <w:tmpl w:val="46BAE29E"/>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69E25960"/>
    <w:multiLevelType w:val="hybridMultilevel"/>
    <w:tmpl w:val="EC88B9C0"/>
    <w:lvl w:ilvl="0" w:tplc="52145F8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CC76194"/>
    <w:multiLevelType w:val="multilevel"/>
    <w:tmpl w:val="0B04E4DE"/>
    <w:lvl w:ilvl="0">
      <w:start w:val="2"/>
      <w:numFmt w:val="decimal"/>
      <w:lvlText w:val="%1"/>
      <w:lvlJc w:val="left"/>
      <w:pPr>
        <w:ind w:left="360" w:hanging="360"/>
      </w:pPr>
      <w:rPr>
        <w:b/>
      </w:rPr>
    </w:lvl>
    <w:lvl w:ilvl="1">
      <w:start w:val="1"/>
      <w:numFmt w:val="decimal"/>
      <w:lvlText w:val="%2."/>
      <w:lvlJc w:val="left"/>
      <w:pPr>
        <w:ind w:left="786" w:hanging="360"/>
      </w:pPr>
      <w:rPr>
        <w:rFonts w:ascii="Arial" w:eastAsia="Times New Roman" w:hAnsi="Arial" w:cs="Arial"/>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6DDA15DF"/>
    <w:multiLevelType w:val="hybridMultilevel"/>
    <w:tmpl w:val="5E9637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245F2E"/>
    <w:multiLevelType w:val="hybridMultilevel"/>
    <w:tmpl w:val="6F987F60"/>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738619A9"/>
    <w:multiLevelType w:val="hybridMultilevel"/>
    <w:tmpl w:val="28B07492"/>
    <w:lvl w:ilvl="0" w:tplc="04050017">
      <w:start w:val="1"/>
      <w:numFmt w:val="lowerLetter"/>
      <w:lvlText w:val="%1)"/>
      <w:lvlJc w:val="left"/>
      <w:pPr>
        <w:ind w:left="1428" w:hanging="360"/>
      </w:p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num w:numId="1">
    <w:abstractNumId w:val="6"/>
  </w:num>
  <w:num w:numId="2">
    <w:abstractNumId w:val="21"/>
  </w:num>
  <w:num w:numId="3">
    <w:abstractNumId w:val="0"/>
  </w:num>
  <w:num w:numId="4">
    <w:abstractNumId w:val="9"/>
  </w:num>
  <w:num w:numId="5">
    <w:abstractNumId w:val="3"/>
  </w:num>
  <w:num w:numId="6">
    <w:abstractNumId w:val="4"/>
  </w:num>
  <w:num w:numId="7">
    <w:abstractNumId w:val="11"/>
  </w:num>
  <w:num w:numId="8">
    <w:abstractNumId w:val="17"/>
  </w:num>
  <w:num w:numId="9">
    <w:abstractNumId w:val="2"/>
  </w:num>
  <w:num w:numId="10">
    <w:abstractNumId w:val="19"/>
  </w:num>
  <w:num w:numId="11">
    <w:abstractNumId w:val="12"/>
  </w:num>
  <w:num w:numId="12">
    <w:abstractNumId w:val="5"/>
  </w:num>
  <w:num w:numId="13">
    <w:abstractNumId w:val="16"/>
  </w:num>
  <w:num w:numId="14">
    <w:abstractNumId w:val="10"/>
  </w:num>
  <w:num w:numId="15">
    <w:abstractNumId w:val="14"/>
  </w:num>
  <w:num w:numId="16">
    <w:abstractNumId w:val="7"/>
  </w:num>
  <w:num w:numId="17">
    <w:abstractNumId w:val="1"/>
  </w:num>
  <w:num w:numId="18">
    <w:abstractNumId w:val="8"/>
  </w:num>
  <w:num w:numId="1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lvlOverride w:ilvl="2"/>
    <w:lvlOverride w:ilvl="3"/>
    <w:lvlOverride w:ilvl="4"/>
    <w:lvlOverride w:ilvl="5"/>
    <w:lvlOverride w:ilvl="6"/>
    <w:lvlOverride w:ilvl="7"/>
    <w:lvlOverride w:ilvl="8"/>
  </w:num>
  <w:num w:numId="21">
    <w:abstractNumId w:val="20"/>
  </w:num>
  <w:num w:numId="22">
    <w:abstractNumId w:val="13"/>
  </w:num>
  <w:num w:numId="23">
    <w:abstractNumId w:val="22"/>
  </w:num>
  <w:num w:numId="24">
    <w:abstractNumId w:val="18"/>
  </w:num>
  <w:num w:numId="25">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10E"/>
    <w:rsid w:val="00001725"/>
    <w:rsid w:val="00003D2E"/>
    <w:rsid w:val="0001546A"/>
    <w:rsid w:val="00020C74"/>
    <w:rsid w:val="000221B8"/>
    <w:rsid w:val="00025047"/>
    <w:rsid w:val="00037764"/>
    <w:rsid w:val="00042329"/>
    <w:rsid w:val="00042E94"/>
    <w:rsid w:val="00046C97"/>
    <w:rsid w:val="00055AE8"/>
    <w:rsid w:val="00064459"/>
    <w:rsid w:val="00067DF9"/>
    <w:rsid w:val="000735B3"/>
    <w:rsid w:val="00075B7F"/>
    <w:rsid w:val="00075E06"/>
    <w:rsid w:val="00082B08"/>
    <w:rsid w:val="00083096"/>
    <w:rsid w:val="00084F5C"/>
    <w:rsid w:val="00085C34"/>
    <w:rsid w:val="000940CF"/>
    <w:rsid w:val="000A39A7"/>
    <w:rsid w:val="000B3836"/>
    <w:rsid w:val="000C19EE"/>
    <w:rsid w:val="000C3F3A"/>
    <w:rsid w:val="000C65D2"/>
    <w:rsid w:val="000D22D1"/>
    <w:rsid w:val="000D42D8"/>
    <w:rsid w:val="000D6486"/>
    <w:rsid w:val="00107A43"/>
    <w:rsid w:val="0011176D"/>
    <w:rsid w:val="00113CA0"/>
    <w:rsid w:val="00114861"/>
    <w:rsid w:val="00115960"/>
    <w:rsid w:val="0011596C"/>
    <w:rsid w:val="001223E4"/>
    <w:rsid w:val="00124059"/>
    <w:rsid w:val="0013098B"/>
    <w:rsid w:val="001403C3"/>
    <w:rsid w:val="00142DA7"/>
    <w:rsid w:val="00146038"/>
    <w:rsid w:val="0015039E"/>
    <w:rsid w:val="00155592"/>
    <w:rsid w:val="00162387"/>
    <w:rsid w:val="00167696"/>
    <w:rsid w:val="00172553"/>
    <w:rsid w:val="00172FAE"/>
    <w:rsid w:val="001734B0"/>
    <w:rsid w:val="0017391A"/>
    <w:rsid w:val="00175816"/>
    <w:rsid w:val="0017604F"/>
    <w:rsid w:val="0017698A"/>
    <w:rsid w:val="00186F35"/>
    <w:rsid w:val="0019070A"/>
    <w:rsid w:val="001953DB"/>
    <w:rsid w:val="00196482"/>
    <w:rsid w:val="001A1BA8"/>
    <w:rsid w:val="001A6560"/>
    <w:rsid w:val="001B08C3"/>
    <w:rsid w:val="001B20AB"/>
    <w:rsid w:val="001D2C5D"/>
    <w:rsid w:val="001E4C33"/>
    <w:rsid w:val="001F27BD"/>
    <w:rsid w:val="001F28E0"/>
    <w:rsid w:val="001F374E"/>
    <w:rsid w:val="001F583E"/>
    <w:rsid w:val="001F63B0"/>
    <w:rsid w:val="002004ED"/>
    <w:rsid w:val="00201CB9"/>
    <w:rsid w:val="0020532F"/>
    <w:rsid w:val="00205A8B"/>
    <w:rsid w:val="00210F39"/>
    <w:rsid w:val="00213024"/>
    <w:rsid w:val="00215273"/>
    <w:rsid w:val="00217457"/>
    <w:rsid w:val="002229A2"/>
    <w:rsid w:val="002309FE"/>
    <w:rsid w:val="00237E19"/>
    <w:rsid w:val="00246C9A"/>
    <w:rsid w:val="00246E1E"/>
    <w:rsid w:val="00257678"/>
    <w:rsid w:val="002643A2"/>
    <w:rsid w:val="002656B6"/>
    <w:rsid w:val="0026616F"/>
    <w:rsid w:val="00266804"/>
    <w:rsid w:val="002733B3"/>
    <w:rsid w:val="002826A9"/>
    <w:rsid w:val="00292363"/>
    <w:rsid w:val="00295D0D"/>
    <w:rsid w:val="002A6701"/>
    <w:rsid w:val="002B7A34"/>
    <w:rsid w:val="002C0AC4"/>
    <w:rsid w:val="002C507E"/>
    <w:rsid w:val="002D397D"/>
    <w:rsid w:val="002E095D"/>
    <w:rsid w:val="002E40BD"/>
    <w:rsid w:val="002E592C"/>
    <w:rsid w:val="002F02AF"/>
    <w:rsid w:val="002F61C2"/>
    <w:rsid w:val="0030468F"/>
    <w:rsid w:val="00311656"/>
    <w:rsid w:val="00317D4F"/>
    <w:rsid w:val="003221FC"/>
    <w:rsid w:val="00326660"/>
    <w:rsid w:val="003330C4"/>
    <w:rsid w:val="00333C18"/>
    <w:rsid w:val="00347508"/>
    <w:rsid w:val="0035553C"/>
    <w:rsid w:val="003604DC"/>
    <w:rsid w:val="00365117"/>
    <w:rsid w:val="00366C81"/>
    <w:rsid w:val="00370B2F"/>
    <w:rsid w:val="003720C4"/>
    <w:rsid w:val="00372E70"/>
    <w:rsid w:val="003742B2"/>
    <w:rsid w:val="003764A3"/>
    <w:rsid w:val="00380BCD"/>
    <w:rsid w:val="00397DAE"/>
    <w:rsid w:val="003A0744"/>
    <w:rsid w:val="003A1668"/>
    <w:rsid w:val="003A3F8A"/>
    <w:rsid w:val="003B0754"/>
    <w:rsid w:val="003B36F5"/>
    <w:rsid w:val="003B432E"/>
    <w:rsid w:val="003C0B6E"/>
    <w:rsid w:val="003C2E9E"/>
    <w:rsid w:val="003C6A96"/>
    <w:rsid w:val="003D5818"/>
    <w:rsid w:val="003E209F"/>
    <w:rsid w:val="003E28F3"/>
    <w:rsid w:val="003E6C1B"/>
    <w:rsid w:val="003F09CE"/>
    <w:rsid w:val="003F128E"/>
    <w:rsid w:val="00401EBE"/>
    <w:rsid w:val="00403547"/>
    <w:rsid w:val="004109F4"/>
    <w:rsid w:val="00416677"/>
    <w:rsid w:val="00417823"/>
    <w:rsid w:val="004227F3"/>
    <w:rsid w:val="00424342"/>
    <w:rsid w:val="00424D7E"/>
    <w:rsid w:val="00430F60"/>
    <w:rsid w:val="00432173"/>
    <w:rsid w:val="0043310E"/>
    <w:rsid w:val="004377D5"/>
    <w:rsid w:val="00441D38"/>
    <w:rsid w:val="00444396"/>
    <w:rsid w:val="004526A6"/>
    <w:rsid w:val="00462FFD"/>
    <w:rsid w:val="00482CCB"/>
    <w:rsid w:val="00483EB9"/>
    <w:rsid w:val="00494ABF"/>
    <w:rsid w:val="00494E07"/>
    <w:rsid w:val="004A11B2"/>
    <w:rsid w:val="004A1267"/>
    <w:rsid w:val="004A1495"/>
    <w:rsid w:val="004B0547"/>
    <w:rsid w:val="004B5F56"/>
    <w:rsid w:val="004C4B71"/>
    <w:rsid w:val="004D08E5"/>
    <w:rsid w:val="004D4AD5"/>
    <w:rsid w:val="004E05C1"/>
    <w:rsid w:val="004E0D16"/>
    <w:rsid w:val="004E4F08"/>
    <w:rsid w:val="004E5398"/>
    <w:rsid w:val="004E5679"/>
    <w:rsid w:val="004E65A4"/>
    <w:rsid w:val="004F27F5"/>
    <w:rsid w:val="004F747B"/>
    <w:rsid w:val="00501346"/>
    <w:rsid w:val="00507C14"/>
    <w:rsid w:val="00510A96"/>
    <w:rsid w:val="00512000"/>
    <w:rsid w:val="00514F3C"/>
    <w:rsid w:val="00516D2D"/>
    <w:rsid w:val="00522DB2"/>
    <w:rsid w:val="00527F60"/>
    <w:rsid w:val="00540525"/>
    <w:rsid w:val="0054692A"/>
    <w:rsid w:val="005558E8"/>
    <w:rsid w:val="00557352"/>
    <w:rsid w:val="00561600"/>
    <w:rsid w:val="0056163C"/>
    <w:rsid w:val="00562D96"/>
    <w:rsid w:val="0056779B"/>
    <w:rsid w:val="00570CF1"/>
    <w:rsid w:val="00577466"/>
    <w:rsid w:val="00583AE0"/>
    <w:rsid w:val="00590659"/>
    <w:rsid w:val="005A775E"/>
    <w:rsid w:val="005B2AC9"/>
    <w:rsid w:val="005B4612"/>
    <w:rsid w:val="005D273B"/>
    <w:rsid w:val="005D7D9C"/>
    <w:rsid w:val="005E0AA4"/>
    <w:rsid w:val="005E13DA"/>
    <w:rsid w:val="005E1493"/>
    <w:rsid w:val="005E3DCE"/>
    <w:rsid w:val="005E792E"/>
    <w:rsid w:val="005F1012"/>
    <w:rsid w:val="005F5F95"/>
    <w:rsid w:val="005F6E34"/>
    <w:rsid w:val="00600545"/>
    <w:rsid w:val="00604E52"/>
    <w:rsid w:val="00606FD7"/>
    <w:rsid w:val="0061190D"/>
    <w:rsid w:val="0061445A"/>
    <w:rsid w:val="006210B1"/>
    <w:rsid w:val="00626281"/>
    <w:rsid w:val="00630759"/>
    <w:rsid w:val="00630EEF"/>
    <w:rsid w:val="006416A0"/>
    <w:rsid w:val="006457AF"/>
    <w:rsid w:val="00647070"/>
    <w:rsid w:val="00654141"/>
    <w:rsid w:val="00657379"/>
    <w:rsid w:val="006644FB"/>
    <w:rsid w:val="006710E4"/>
    <w:rsid w:val="00681607"/>
    <w:rsid w:val="0068191B"/>
    <w:rsid w:val="00683200"/>
    <w:rsid w:val="006B0F17"/>
    <w:rsid w:val="006B188E"/>
    <w:rsid w:val="006D3AA5"/>
    <w:rsid w:val="006D7135"/>
    <w:rsid w:val="006F6B4C"/>
    <w:rsid w:val="006F7C92"/>
    <w:rsid w:val="006F7D4B"/>
    <w:rsid w:val="00701A73"/>
    <w:rsid w:val="00704CEC"/>
    <w:rsid w:val="00704DF2"/>
    <w:rsid w:val="00711FD5"/>
    <w:rsid w:val="00712ACE"/>
    <w:rsid w:val="007246FF"/>
    <w:rsid w:val="00725991"/>
    <w:rsid w:val="00726282"/>
    <w:rsid w:val="007269E0"/>
    <w:rsid w:val="00730E49"/>
    <w:rsid w:val="00740F0E"/>
    <w:rsid w:val="00741755"/>
    <w:rsid w:val="00741932"/>
    <w:rsid w:val="00746556"/>
    <w:rsid w:val="007478DD"/>
    <w:rsid w:val="0075088F"/>
    <w:rsid w:val="0075359C"/>
    <w:rsid w:val="00754B80"/>
    <w:rsid w:val="007558B0"/>
    <w:rsid w:val="00762750"/>
    <w:rsid w:val="00767998"/>
    <w:rsid w:val="007710F5"/>
    <w:rsid w:val="007729D4"/>
    <w:rsid w:val="00780082"/>
    <w:rsid w:val="007806A6"/>
    <w:rsid w:val="00780DD0"/>
    <w:rsid w:val="00784E95"/>
    <w:rsid w:val="00786175"/>
    <w:rsid w:val="00793EBA"/>
    <w:rsid w:val="00796213"/>
    <w:rsid w:val="007A002E"/>
    <w:rsid w:val="007A10D8"/>
    <w:rsid w:val="007A1CCF"/>
    <w:rsid w:val="007A6CF2"/>
    <w:rsid w:val="007B0ABE"/>
    <w:rsid w:val="007B282A"/>
    <w:rsid w:val="007C533C"/>
    <w:rsid w:val="007D072B"/>
    <w:rsid w:val="007E2625"/>
    <w:rsid w:val="007E2ACA"/>
    <w:rsid w:val="007E39AF"/>
    <w:rsid w:val="007F0D36"/>
    <w:rsid w:val="007F1461"/>
    <w:rsid w:val="007F1BCE"/>
    <w:rsid w:val="007F2682"/>
    <w:rsid w:val="007F7B5D"/>
    <w:rsid w:val="008027C1"/>
    <w:rsid w:val="0081380D"/>
    <w:rsid w:val="00813D71"/>
    <w:rsid w:val="00815012"/>
    <w:rsid w:val="00816D2E"/>
    <w:rsid w:val="00827B0F"/>
    <w:rsid w:val="00832E79"/>
    <w:rsid w:val="00836791"/>
    <w:rsid w:val="0084464C"/>
    <w:rsid w:val="008517DB"/>
    <w:rsid w:val="00853A54"/>
    <w:rsid w:val="00861690"/>
    <w:rsid w:val="008703DC"/>
    <w:rsid w:val="00870AA7"/>
    <w:rsid w:val="0087136E"/>
    <w:rsid w:val="008819BF"/>
    <w:rsid w:val="00884895"/>
    <w:rsid w:val="00885C79"/>
    <w:rsid w:val="00886D89"/>
    <w:rsid w:val="008A5825"/>
    <w:rsid w:val="008A68B8"/>
    <w:rsid w:val="008B5543"/>
    <w:rsid w:val="008B5E1F"/>
    <w:rsid w:val="008C1FDF"/>
    <w:rsid w:val="008D5CD0"/>
    <w:rsid w:val="008E51D1"/>
    <w:rsid w:val="008F1AE5"/>
    <w:rsid w:val="008F7CBB"/>
    <w:rsid w:val="00905C48"/>
    <w:rsid w:val="00907514"/>
    <w:rsid w:val="00907722"/>
    <w:rsid w:val="00911A35"/>
    <w:rsid w:val="00917BA6"/>
    <w:rsid w:val="00922B5B"/>
    <w:rsid w:val="00925FE4"/>
    <w:rsid w:val="00930CFA"/>
    <w:rsid w:val="00933C77"/>
    <w:rsid w:val="0093427F"/>
    <w:rsid w:val="009358BD"/>
    <w:rsid w:val="0093690A"/>
    <w:rsid w:val="00940160"/>
    <w:rsid w:val="00943B6B"/>
    <w:rsid w:val="00945FAE"/>
    <w:rsid w:val="00950924"/>
    <w:rsid w:val="00957F21"/>
    <w:rsid w:val="009608B9"/>
    <w:rsid w:val="00964825"/>
    <w:rsid w:val="00967BD6"/>
    <w:rsid w:val="00970AFA"/>
    <w:rsid w:val="009710FA"/>
    <w:rsid w:val="00976B4A"/>
    <w:rsid w:val="00983ACC"/>
    <w:rsid w:val="00990799"/>
    <w:rsid w:val="00990AEA"/>
    <w:rsid w:val="00993DB4"/>
    <w:rsid w:val="00997EA9"/>
    <w:rsid w:val="009A1D12"/>
    <w:rsid w:val="009A1E76"/>
    <w:rsid w:val="009A24D7"/>
    <w:rsid w:val="009B16A1"/>
    <w:rsid w:val="009B70EC"/>
    <w:rsid w:val="009C333D"/>
    <w:rsid w:val="009C3742"/>
    <w:rsid w:val="009C5E9F"/>
    <w:rsid w:val="009D13F8"/>
    <w:rsid w:val="009D1C49"/>
    <w:rsid w:val="009E6014"/>
    <w:rsid w:val="009F2509"/>
    <w:rsid w:val="009F379B"/>
    <w:rsid w:val="009F38FA"/>
    <w:rsid w:val="00A002B5"/>
    <w:rsid w:val="00A17093"/>
    <w:rsid w:val="00A17E07"/>
    <w:rsid w:val="00A20A81"/>
    <w:rsid w:val="00A21F75"/>
    <w:rsid w:val="00A22583"/>
    <w:rsid w:val="00A2285E"/>
    <w:rsid w:val="00A228B3"/>
    <w:rsid w:val="00A262A5"/>
    <w:rsid w:val="00A32B0C"/>
    <w:rsid w:val="00A3302B"/>
    <w:rsid w:val="00A34C15"/>
    <w:rsid w:val="00A410B4"/>
    <w:rsid w:val="00A4522D"/>
    <w:rsid w:val="00A47840"/>
    <w:rsid w:val="00A5223A"/>
    <w:rsid w:val="00A55998"/>
    <w:rsid w:val="00A55C49"/>
    <w:rsid w:val="00A56ED6"/>
    <w:rsid w:val="00A63987"/>
    <w:rsid w:val="00A63BED"/>
    <w:rsid w:val="00A652D5"/>
    <w:rsid w:val="00A71910"/>
    <w:rsid w:val="00A77E46"/>
    <w:rsid w:val="00A83EBF"/>
    <w:rsid w:val="00A909F4"/>
    <w:rsid w:val="00A92E2B"/>
    <w:rsid w:val="00A937B7"/>
    <w:rsid w:val="00A93DA6"/>
    <w:rsid w:val="00A97250"/>
    <w:rsid w:val="00AA16F4"/>
    <w:rsid w:val="00AA37AD"/>
    <w:rsid w:val="00AA404E"/>
    <w:rsid w:val="00AA493D"/>
    <w:rsid w:val="00AA6E06"/>
    <w:rsid w:val="00AB5184"/>
    <w:rsid w:val="00AC6498"/>
    <w:rsid w:val="00AD0647"/>
    <w:rsid w:val="00AD6334"/>
    <w:rsid w:val="00AE23B7"/>
    <w:rsid w:val="00AE27CD"/>
    <w:rsid w:val="00AE366C"/>
    <w:rsid w:val="00AE4838"/>
    <w:rsid w:val="00AE7A0C"/>
    <w:rsid w:val="00AF29B4"/>
    <w:rsid w:val="00B00CFE"/>
    <w:rsid w:val="00B028AA"/>
    <w:rsid w:val="00B03793"/>
    <w:rsid w:val="00B05551"/>
    <w:rsid w:val="00B1073C"/>
    <w:rsid w:val="00B1276B"/>
    <w:rsid w:val="00B22351"/>
    <w:rsid w:val="00B23BA3"/>
    <w:rsid w:val="00B24B05"/>
    <w:rsid w:val="00B324F7"/>
    <w:rsid w:val="00B32BAF"/>
    <w:rsid w:val="00B35287"/>
    <w:rsid w:val="00B35B71"/>
    <w:rsid w:val="00B3721D"/>
    <w:rsid w:val="00B51332"/>
    <w:rsid w:val="00B60C69"/>
    <w:rsid w:val="00B653CA"/>
    <w:rsid w:val="00B72CD2"/>
    <w:rsid w:val="00B74D8C"/>
    <w:rsid w:val="00B8364F"/>
    <w:rsid w:val="00B86CC6"/>
    <w:rsid w:val="00B87567"/>
    <w:rsid w:val="00B92F4C"/>
    <w:rsid w:val="00B93CD9"/>
    <w:rsid w:val="00BA0126"/>
    <w:rsid w:val="00BA32DB"/>
    <w:rsid w:val="00BA4DA1"/>
    <w:rsid w:val="00BA5B1B"/>
    <w:rsid w:val="00BA71D7"/>
    <w:rsid w:val="00BB2A27"/>
    <w:rsid w:val="00BB2E05"/>
    <w:rsid w:val="00BB46D0"/>
    <w:rsid w:val="00BB782C"/>
    <w:rsid w:val="00BC00E3"/>
    <w:rsid w:val="00BC0438"/>
    <w:rsid w:val="00BC10FC"/>
    <w:rsid w:val="00BC37D1"/>
    <w:rsid w:val="00BC3939"/>
    <w:rsid w:val="00BC3D0D"/>
    <w:rsid w:val="00BC5785"/>
    <w:rsid w:val="00BC72A6"/>
    <w:rsid w:val="00BC782A"/>
    <w:rsid w:val="00BE20C6"/>
    <w:rsid w:val="00C04ECE"/>
    <w:rsid w:val="00C14997"/>
    <w:rsid w:val="00C471B9"/>
    <w:rsid w:val="00C47CA2"/>
    <w:rsid w:val="00C52211"/>
    <w:rsid w:val="00C52857"/>
    <w:rsid w:val="00C52982"/>
    <w:rsid w:val="00C65676"/>
    <w:rsid w:val="00C66F2F"/>
    <w:rsid w:val="00C70097"/>
    <w:rsid w:val="00C70F3E"/>
    <w:rsid w:val="00C74209"/>
    <w:rsid w:val="00C87144"/>
    <w:rsid w:val="00C95BD3"/>
    <w:rsid w:val="00CA0BD3"/>
    <w:rsid w:val="00CA2706"/>
    <w:rsid w:val="00CA28F7"/>
    <w:rsid w:val="00CA41D4"/>
    <w:rsid w:val="00CA739A"/>
    <w:rsid w:val="00CB22AA"/>
    <w:rsid w:val="00CB6AED"/>
    <w:rsid w:val="00CC02A3"/>
    <w:rsid w:val="00CC752D"/>
    <w:rsid w:val="00CD7E11"/>
    <w:rsid w:val="00CE11ED"/>
    <w:rsid w:val="00CE444E"/>
    <w:rsid w:val="00CE6324"/>
    <w:rsid w:val="00CE6D39"/>
    <w:rsid w:val="00CF263A"/>
    <w:rsid w:val="00CF2B40"/>
    <w:rsid w:val="00CF4164"/>
    <w:rsid w:val="00CF4F58"/>
    <w:rsid w:val="00D05B74"/>
    <w:rsid w:val="00D147D6"/>
    <w:rsid w:val="00D1756E"/>
    <w:rsid w:val="00D22838"/>
    <w:rsid w:val="00D3519D"/>
    <w:rsid w:val="00D356B0"/>
    <w:rsid w:val="00D40314"/>
    <w:rsid w:val="00D40D4E"/>
    <w:rsid w:val="00D4189D"/>
    <w:rsid w:val="00D474A8"/>
    <w:rsid w:val="00D47FC1"/>
    <w:rsid w:val="00D544AC"/>
    <w:rsid w:val="00D601A5"/>
    <w:rsid w:val="00D62566"/>
    <w:rsid w:val="00D71552"/>
    <w:rsid w:val="00D74222"/>
    <w:rsid w:val="00D818E6"/>
    <w:rsid w:val="00D909B1"/>
    <w:rsid w:val="00D90B34"/>
    <w:rsid w:val="00D94217"/>
    <w:rsid w:val="00D96274"/>
    <w:rsid w:val="00D97409"/>
    <w:rsid w:val="00DA0B5A"/>
    <w:rsid w:val="00DA6C1F"/>
    <w:rsid w:val="00DC2117"/>
    <w:rsid w:val="00DC4AC6"/>
    <w:rsid w:val="00DC7169"/>
    <w:rsid w:val="00DD08D4"/>
    <w:rsid w:val="00DD1F7E"/>
    <w:rsid w:val="00DD3061"/>
    <w:rsid w:val="00DD70AB"/>
    <w:rsid w:val="00DD7141"/>
    <w:rsid w:val="00DE0CFC"/>
    <w:rsid w:val="00DE2906"/>
    <w:rsid w:val="00DE4570"/>
    <w:rsid w:val="00DE4E4A"/>
    <w:rsid w:val="00DF65C5"/>
    <w:rsid w:val="00DF75FB"/>
    <w:rsid w:val="00DF7AB7"/>
    <w:rsid w:val="00E01568"/>
    <w:rsid w:val="00E07A27"/>
    <w:rsid w:val="00E11E79"/>
    <w:rsid w:val="00E15F86"/>
    <w:rsid w:val="00E21193"/>
    <w:rsid w:val="00E21DDC"/>
    <w:rsid w:val="00E2495A"/>
    <w:rsid w:val="00E345C9"/>
    <w:rsid w:val="00E3492F"/>
    <w:rsid w:val="00E40B59"/>
    <w:rsid w:val="00E41C45"/>
    <w:rsid w:val="00E51A9B"/>
    <w:rsid w:val="00E54F70"/>
    <w:rsid w:val="00E5542A"/>
    <w:rsid w:val="00E55D58"/>
    <w:rsid w:val="00E616C7"/>
    <w:rsid w:val="00E723CD"/>
    <w:rsid w:val="00E761C0"/>
    <w:rsid w:val="00E909C0"/>
    <w:rsid w:val="00E928F4"/>
    <w:rsid w:val="00E956D4"/>
    <w:rsid w:val="00EA39E9"/>
    <w:rsid w:val="00EA5418"/>
    <w:rsid w:val="00EB1673"/>
    <w:rsid w:val="00EB4B7F"/>
    <w:rsid w:val="00EB526B"/>
    <w:rsid w:val="00EB53D4"/>
    <w:rsid w:val="00EC2327"/>
    <w:rsid w:val="00EC2FAF"/>
    <w:rsid w:val="00EC5E77"/>
    <w:rsid w:val="00ED1D2B"/>
    <w:rsid w:val="00ED1D9E"/>
    <w:rsid w:val="00ED38CA"/>
    <w:rsid w:val="00EE1081"/>
    <w:rsid w:val="00EE2B2C"/>
    <w:rsid w:val="00EE7846"/>
    <w:rsid w:val="00EF149B"/>
    <w:rsid w:val="00EF5132"/>
    <w:rsid w:val="00F04075"/>
    <w:rsid w:val="00F04B2F"/>
    <w:rsid w:val="00F059D4"/>
    <w:rsid w:val="00F05B6B"/>
    <w:rsid w:val="00F073EA"/>
    <w:rsid w:val="00F07E84"/>
    <w:rsid w:val="00F13186"/>
    <w:rsid w:val="00F1391B"/>
    <w:rsid w:val="00F14202"/>
    <w:rsid w:val="00F15329"/>
    <w:rsid w:val="00F21EA9"/>
    <w:rsid w:val="00F24DFA"/>
    <w:rsid w:val="00F2757B"/>
    <w:rsid w:val="00F32B55"/>
    <w:rsid w:val="00F335CA"/>
    <w:rsid w:val="00F36261"/>
    <w:rsid w:val="00F364B3"/>
    <w:rsid w:val="00F36D5B"/>
    <w:rsid w:val="00F40378"/>
    <w:rsid w:val="00F43DFA"/>
    <w:rsid w:val="00F452A1"/>
    <w:rsid w:val="00F46C46"/>
    <w:rsid w:val="00F50015"/>
    <w:rsid w:val="00F51975"/>
    <w:rsid w:val="00F55BFD"/>
    <w:rsid w:val="00F65539"/>
    <w:rsid w:val="00F65A23"/>
    <w:rsid w:val="00F678C2"/>
    <w:rsid w:val="00F715ED"/>
    <w:rsid w:val="00F7208E"/>
    <w:rsid w:val="00F7477B"/>
    <w:rsid w:val="00F74B7B"/>
    <w:rsid w:val="00F870CC"/>
    <w:rsid w:val="00FA55B4"/>
    <w:rsid w:val="00FA64AE"/>
    <w:rsid w:val="00FA75A9"/>
    <w:rsid w:val="00FB0FE0"/>
    <w:rsid w:val="00FB1AE0"/>
    <w:rsid w:val="00FC4BDB"/>
    <w:rsid w:val="00FC55D4"/>
    <w:rsid w:val="00FC67DC"/>
    <w:rsid w:val="00FC76C0"/>
    <w:rsid w:val="00FD0B86"/>
    <w:rsid w:val="00FD2EF1"/>
    <w:rsid w:val="00FD3EBB"/>
    <w:rsid w:val="00FE0E21"/>
    <w:rsid w:val="00FE333F"/>
    <w:rsid w:val="00FF067A"/>
    <w:rsid w:val="00FF54DC"/>
    <w:rsid w:val="00FF6B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6A25B"/>
  <w15:docId w15:val="{C7DCAD82-DFCE-49A8-A302-C885C8B8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832E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semiHidden/>
    <w:unhideWhenUsed/>
    <w:qFormat/>
    <w:rsid w:val="00F275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F2757B"/>
    <w:pPr>
      <w:keepNext/>
      <w:keepLines/>
      <w:spacing w:before="40"/>
      <w:outlineLvl w:val="2"/>
    </w:pPr>
    <w:rPr>
      <w:rFonts w:asciiTheme="majorHAnsi" w:eastAsiaTheme="majorEastAsia" w:hAnsiTheme="majorHAnsi" w:cstheme="majorBidi"/>
      <w:color w:val="243F60" w:themeColor="accent1" w:themeShade="7F"/>
    </w:rPr>
  </w:style>
  <w:style w:type="paragraph" w:styleId="Nadpis5">
    <w:name w:val="heading 5"/>
    <w:basedOn w:val="Normln"/>
    <w:next w:val="Normln"/>
    <w:link w:val="Nadpis5Char"/>
    <w:uiPriority w:val="9"/>
    <w:semiHidden/>
    <w:unhideWhenUsed/>
    <w:qFormat/>
    <w:rsid w:val="00B653CA"/>
    <w:pPr>
      <w:keepNext/>
      <w:keepLines/>
      <w:numPr>
        <w:ilvl w:val="4"/>
        <w:numId w:val="1"/>
      </w:numPr>
      <w:spacing w:before="40"/>
      <w:outlineLvl w:val="4"/>
    </w:pPr>
    <w:rPr>
      <w:rFonts w:ascii="Cambria" w:hAnsi="Cambria"/>
      <w:color w:val="365F91"/>
    </w:rPr>
  </w:style>
  <w:style w:type="paragraph" w:styleId="Nadpis6">
    <w:name w:val="heading 6"/>
    <w:basedOn w:val="Normln"/>
    <w:next w:val="Normln"/>
    <w:link w:val="Nadpis6Char"/>
    <w:uiPriority w:val="9"/>
    <w:semiHidden/>
    <w:unhideWhenUsed/>
    <w:qFormat/>
    <w:rsid w:val="00B653CA"/>
    <w:pPr>
      <w:keepNext/>
      <w:keepLines/>
      <w:numPr>
        <w:ilvl w:val="5"/>
        <w:numId w:val="1"/>
      </w:numPr>
      <w:spacing w:before="40"/>
      <w:outlineLvl w:val="5"/>
    </w:pPr>
    <w:rPr>
      <w:rFonts w:ascii="Cambria" w:hAnsi="Cambria"/>
      <w:color w:val="243F60"/>
    </w:rPr>
  </w:style>
  <w:style w:type="paragraph" w:styleId="Nadpis7">
    <w:name w:val="heading 7"/>
    <w:basedOn w:val="Normln"/>
    <w:next w:val="Normln"/>
    <w:link w:val="Nadpis7Char"/>
    <w:uiPriority w:val="9"/>
    <w:semiHidden/>
    <w:unhideWhenUsed/>
    <w:qFormat/>
    <w:rsid w:val="00B653CA"/>
    <w:pPr>
      <w:keepNext/>
      <w:keepLines/>
      <w:numPr>
        <w:ilvl w:val="6"/>
        <w:numId w:val="1"/>
      </w:numPr>
      <w:spacing w:before="40"/>
      <w:outlineLvl w:val="6"/>
    </w:pPr>
    <w:rPr>
      <w:rFonts w:ascii="Cambria" w:hAnsi="Cambria"/>
      <w:i/>
      <w:iCs/>
      <w:color w:val="243F60"/>
    </w:rPr>
  </w:style>
  <w:style w:type="paragraph" w:styleId="Nadpis8">
    <w:name w:val="heading 8"/>
    <w:basedOn w:val="Normln"/>
    <w:next w:val="Normln"/>
    <w:link w:val="Nadpis8Char"/>
    <w:uiPriority w:val="9"/>
    <w:semiHidden/>
    <w:unhideWhenUsed/>
    <w:qFormat/>
    <w:rsid w:val="00B653CA"/>
    <w:pPr>
      <w:keepNext/>
      <w:keepLines/>
      <w:numPr>
        <w:ilvl w:val="7"/>
        <w:numId w:val="1"/>
      </w:numPr>
      <w:spacing w:before="40"/>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B653CA"/>
    <w:pPr>
      <w:keepNext/>
      <w:keepLines/>
      <w:numPr>
        <w:ilvl w:val="8"/>
        <w:numId w:val="1"/>
      </w:numPr>
      <w:spacing w:before="40"/>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E6C1B"/>
    <w:pPr>
      <w:tabs>
        <w:tab w:val="center" w:pos="4536"/>
        <w:tab w:val="right" w:pos="9072"/>
      </w:tabs>
    </w:pPr>
  </w:style>
  <w:style w:type="paragraph" w:styleId="Zpat">
    <w:name w:val="footer"/>
    <w:basedOn w:val="Normln"/>
    <w:link w:val="ZpatChar"/>
    <w:uiPriority w:val="99"/>
    <w:rsid w:val="003E6C1B"/>
    <w:pPr>
      <w:tabs>
        <w:tab w:val="center" w:pos="4536"/>
        <w:tab w:val="right" w:pos="9072"/>
      </w:tabs>
    </w:pPr>
  </w:style>
  <w:style w:type="character" w:customStyle="1" w:styleId="ZhlavChar">
    <w:name w:val="Záhlaví Char"/>
    <w:link w:val="Zhlav"/>
    <w:uiPriority w:val="99"/>
    <w:rsid w:val="00B23BA3"/>
    <w:rPr>
      <w:sz w:val="24"/>
      <w:szCs w:val="24"/>
    </w:rPr>
  </w:style>
  <w:style w:type="paragraph" w:styleId="Textbubliny">
    <w:name w:val="Balloon Text"/>
    <w:basedOn w:val="Normln"/>
    <w:link w:val="TextbublinyChar"/>
    <w:rsid w:val="00B23BA3"/>
    <w:rPr>
      <w:rFonts w:ascii="Tahoma" w:hAnsi="Tahoma" w:cs="Tahoma"/>
      <w:sz w:val="16"/>
      <w:szCs w:val="16"/>
    </w:rPr>
  </w:style>
  <w:style w:type="character" w:customStyle="1" w:styleId="TextbublinyChar">
    <w:name w:val="Text bubliny Char"/>
    <w:link w:val="Textbubliny"/>
    <w:rsid w:val="00B23BA3"/>
    <w:rPr>
      <w:rFonts w:ascii="Tahoma" w:hAnsi="Tahoma" w:cs="Tahoma"/>
      <w:sz w:val="16"/>
      <w:szCs w:val="16"/>
    </w:rPr>
  </w:style>
  <w:style w:type="paragraph" w:styleId="Nzev">
    <w:name w:val="Title"/>
    <w:basedOn w:val="Normln"/>
    <w:link w:val="NzevChar"/>
    <w:qFormat/>
    <w:rsid w:val="00257678"/>
    <w:pPr>
      <w:jc w:val="center"/>
    </w:pPr>
    <w:rPr>
      <w:b/>
      <w:smallCaps/>
      <w:sz w:val="28"/>
      <w:szCs w:val="20"/>
    </w:rPr>
  </w:style>
  <w:style w:type="character" w:customStyle="1" w:styleId="NzevChar">
    <w:name w:val="Název Char"/>
    <w:basedOn w:val="Standardnpsmoodstavce"/>
    <w:link w:val="Nzev"/>
    <w:rsid w:val="00257678"/>
    <w:rPr>
      <w:b/>
      <w:smallCaps/>
      <w:sz w:val="28"/>
    </w:rPr>
  </w:style>
  <w:style w:type="paragraph" w:styleId="Prosttext">
    <w:name w:val="Plain Text"/>
    <w:basedOn w:val="Normln"/>
    <w:link w:val="ProsttextChar"/>
    <w:uiPriority w:val="99"/>
    <w:rsid w:val="00527F60"/>
    <w:rPr>
      <w:rFonts w:ascii="Courier New" w:hAnsi="Courier New"/>
      <w:sz w:val="20"/>
      <w:szCs w:val="20"/>
      <w:lang w:val="x-none" w:eastAsia="x-none"/>
    </w:rPr>
  </w:style>
  <w:style w:type="character" w:customStyle="1" w:styleId="ProsttextChar">
    <w:name w:val="Prostý text Char"/>
    <w:basedOn w:val="Standardnpsmoodstavce"/>
    <w:link w:val="Prosttext"/>
    <w:uiPriority w:val="99"/>
    <w:rsid w:val="00527F60"/>
    <w:rPr>
      <w:rFonts w:ascii="Courier New" w:hAnsi="Courier New"/>
      <w:lang w:val="x-none" w:eastAsia="x-none"/>
    </w:rPr>
  </w:style>
  <w:style w:type="paragraph" w:styleId="Odstavecseseznamem">
    <w:name w:val="List Paragraph"/>
    <w:aliases w:val="Odstavec se seznamem a odrážkou,1 úroveň Odstavec se seznamem,Bullet List,FooterText,numbered,List Paragraph1,Paragraphe de liste1,Bulletr List Paragraph,列出段落,列出段落1,List Paragraph2,List Paragraph21,Listeafsnit1,Parágrafo da Lista1"/>
    <w:basedOn w:val="Normln"/>
    <w:link w:val="OdstavecseseznamemChar"/>
    <w:uiPriority w:val="34"/>
    <w:qFormat/>
    <w:rsid w:val="00CA0BD3"/>
    <w:pPr>
      <w:ind w:left="720"/>
      <w:contextualSpacing/>
    </w:pPr>
  </w:style>
  <w:style w:type="character" w:customStyle="1" w:styleId="OdstavecseseznamemChar">
    <w:name w:val="Odstavec se seznamem Char"/>
    <w:aliases w:val="Odstavec se seznamem a odrážkou Char,1 úroveň Odstavec se seznamem Char,Bullet List Char,FooterText Char,numbered Char,List Paragraph1 Char,Paragraphe de liste1 Char,Bulletr List Paragraph Char,列出段落 Char,列出段落1 Char"/>
    <w:link w:val="Odstavecseseznamem"/>
    <w:uiPriority w:val="34"/>
    <w:locked/>
    <w:rsid w:val="00970AFA"/>
    <w:rPr>
      <w:sz w:val="24"/>
      <w:szCs w:val="24"/>
    </w:rPr>
  </w:style>
  <w:style w:type="paragraph" w:customStyle="1" w:styleId="Odstavec">
    <w:name w:val="Odstavec"/>
    <w:basedOn w:val="Nadpis2"/>
    <w:rsid w:val="00F2757B"/>
    <w:pPr>
      <w:keepLines w:val="0"/>
      <w:widowControl w:val="0"/>
      <w:spacing w:before="0" w:after="120"/>
      <w:ind w:left="6741" w:hanging="360"/>
      <w:jc w:val="both"/>
      <w:outlineLvl w:val="9"/>
    </w:pPr>
    <w:rPr>
      <w:rFonts w:ascii="Arial" w:eastAsia="Times New Roman" w:hAnsi="Arial" w:cs="Times New Roman"/>
      <w:color w:val="auto"/>
      <w:sz w:val="20"/>
      <w:szCs w:val="20"/>
    </w:rPr>
  </w:style>
  <w:style w:type="character" w:customStyle="1" w:styleId="Nadpis2Char">
    <w:name w:val="Nadpis 2 Char"/>
    <w:basedOn w:val="Standardnpsmoodstavce"/>
    <w:link w:val="Nadpis2"/>
    <w:semiHidden/>
    <w:rsid w:val="00F2757B"/>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semiHidden/>
    <w:rsid w:val="00F2757B"/>
    <w:rPr>
      <w:rFonts w:asciiTheme="majorHAnsi" w:eastAsiaTheme="majorEastAsia" w:hAnsiTheme="majorHAnsi" w:cstheme="majorBidi"/>
      <w:color w:val="243F60" w:themeColor="accent1" w:themeShade="7F"/>
      <w:sz w:val="24"/>
      <w:szCs w:val="24"/>
    </w:rPr>
  </w:style>
  <w:style w:type="character" w:styleId="Hypertextovodkaz">
    <w:name w:val="Hyperlink"/>
    <w:basedOn w:val="Standardnpsmoodstavce"/>
    <w:uiPriority w:val="99"/>
    <w:unhideWhenUsed/>
    <w:rsid w:val="00D909B1"/>
    <w:rPr>
      <w:color w:val="0000FF" w:themeColor="hyperlink"/>
      <w:u w:val="single"/>
    </w:rPr>
  </w:style>
  <w:style w:type="character" w:customStyle="1" w:styleId="ZpatChar">
    <w:name w:val="Zápatí Char"/>
    <w:basedOn w:val="Standardnpsmoodstavce"/>
    <w:link w:val="Zpat"/>
    <w:uiPriority w:val="99"/>
    <w:rsid w:val="00832E79"/>
    <w:rPr>
      <w:sz w:val="24"/>
      <w:szCs w:val="24"/>
    </w:rPr>
  </w:style>
  <w:style w:type="character" w:customStyle="1" w:styleId="Nadpis1Char">
    <w:name w:val="Nadpis 1 Char"/>
    <w:basedOn w:val="Standardnpsmoodstavce"/>
    <w:link w:val="Nadpis1"/>
    <w:rsid w:val="00832E79"/>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rsid w:val="004B5F56"/>
    <w:rPr>
      <w:sz w:val="22"/>
      <w:szCs w:val="20"/>
      <w:lang w:val="de-DE"/>
    </w:rPr>
  </w:style>
  <w:style w:type="character" w:customStyle="1" w:styleId="ZkladntextChar">
    <w:name w:val="Základní text Char"/>
    <w:basedOn w:val="Standardnpsmoodstavce"/>
    <w:link w:val="Zkladntext"/>
    <w:rsid w:val="004B5F56"/>
    <w:rPr>
      <w:sz w:val="22"/>
      <w:lang w:val="de-DE"/>
    </w:rPr>
  </w:style>
  <w:style w:type="character" w:styleId="Odkaznakoment">
    <w:name w:val="annotation reference"/>
    <w:basedOn w:val="Standardnpsmoodstavce"/>
    <w:unhideWhenUsed/>
    <w:rsid w:val="002A6701"/>
    <w:rPr>
      <w:sz w:val="16"/>
      <w:szCs w:val="16"/>
    </w:rPr>
  </w:style>
  <w:style w:type="paragraph" w:styleId="Textkomente">
    <w:name w:val="annotation text"/>
    <w:basedOn w:val="Normln"/>
    <w:link w:val="TextkomenteChar"/>
    <w:unhideWhenUsed/>
    <w:rsid w:val="002A6701"/>
    <w:rPr>
      <w:sz w:val="20"/>
      <w:szCs w:val="20"/>
    </w:rPr>
  </w:style>
  <w:style w:type="character" w:customStyle="1" w:styleId="TextkomenteChar">
    <w:name w:val="Text komentáře Char"/>
    <w:basedOn w:val="Standardnpsmoodstavce"/>
    <w:link w:val="Textkomente"/>
    <w:rsid w:val="002A6701"/>
  </w:style>
  <w:style w:type="paragraph" w:styleId="Pedmtkomente">
    <w:name w:val="annotation subject"/>
    <w:basedOn w:val="Textkomente"/>
    <w:next w:val="Textkomente"/>
    <w:link w:val="PedmtkomenteChar"/>
    <w:semiHidden/>
    <w:unhideWhenUsed/>
    <w:rsid w:val="002A6701"/>
    <w:rPr>
      <w:b/>
      <w:bCs/>
    </w:rPr>
  </w:style>
  <w:style w:type="character" w:customStyle="1" w:styleId="PedmtkomenteChar">
    <w:name w:val="Předmět komentáře Char"/>
    <w:basedOn w:val="TextkomenteChar"/>
    <w:link w:val="Pedmtkomente"/>
    <w:semiHidden/>
    <w:rsid w:val="002A6701"/>
    <w:rPr>
      <w:b/>
      <w:bCs/>
    </w:rPr>
  </w:style>
  <w:style w:type="paragraph" w:styleId="Revize">
    <w:name w:val="Revision"/>
    <w:hidden/>
    <w:uiPriority w:val="99"/>
    <w:semiHidden/>
    <w:rsid w:val="005A775E"/>
    <w:rPr>
      <w:sz w:val="24"/>
      <w:szCs w:val="24"/>
    </w:rPr>
  </w:style>
  <w:style w:type="table" w:styleId="Mkatabulky">
    <w:name w:val="Table Grid"/>
    <w:basedOn w:val="Normlntabulka"/>
    <w:uiPriority w:val="59"/>
    <w:rsid w:val="003E28F3"/>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B653CA"/>
    <w:rPr>
      <w:rFonts w:ascii="Cambria" w:hAnsi="Cambria"/>
      <w:color w:val="365F91"/>
      <w:sz w:val="24"/>
      <w:szCs w:val="24"/>
    </w:rPr>
  </w:style>
  <w:style w:type="character" w:customStyle="1" w:styleId="Nadpis6Char">
    <w:name w:val="Nadpis 6 Char"/>
    <w:basedOn w:val="Standardnpsmoodstavce"/>
    <w:link w:val="Nadpis6"/>
    <w:uiPriority w:val="9"/>
    <w:semiHidden/>
    <w:rsid w:val="00B653CA"/>
    <w:rPr>
      <w:rFonts w:ascii="Cambria" w:hAnsi="Cambria"/>
      <w:color w:val="243F60"/>
      <w:sz w:val="24"/>
      <w:szCs w:val="24"/>
    </w:rPr>
  </w:style>
  <w:style w:type="character" w:customStyle="1" w:styleId="Nadpis7Char">
    <w:name w:val="Nadpis 7 Char"/>
    <w:basedOn w:val="Standardnpsmoodstavce"/>
    <w:link w:val="Nadpis7"/>
    <w:uiPriority w:val="9"/>
    <w:semiHidden/>
    <w:rsid w:val="00B653CA"/>
    <w:rPr>
      <w:rFonts w:ascii="Cambria" w:hAnsi="Cambria"/>
      <w:i/>
      <w:iCs/>
      <w:color w:val="243F60"/>
      <w:sz w:val="24"/>
      <w:szCs w:val="24"/>
    </w:rPr>
  </w:style>
  <w:style w:type="character" w:customStyle="1" w:styleId="Nadpis8Char">
    <w:name w:val="Nadpis 8 Char"/>
    <w:basedOn w:val="Standardnpsmoodstavce"/>
    <w:link w:val="Nadpis8"/>
    <w:uiPriority w:val="9"/>
    <w:semiHidden/>
    <w:rsid w:val="00B653CA"/>
    <w:rPr>
      <w:rFonts w:ascii="Cambria" w:hAnsi="Cambria"/>
      <w:color w:val="272727"/>
      <w:sz w:val="21"/>
      <w:szCs w:val="21"/>
    </w:rPr>
  </w:style>
  <w:style w:type="character" w:customStyle="1" w:styleId="Nadpis9Char">
    <w:name w:val="Nadpis 9 Char"/>
    <w:basedOn w:val="Standardnpsmoodstavce"/>
    <w:link w:val="Nadpis9"/>
    <w:uiPriority w:val="9"/>
    <w:semiHidden/>
    <w:rsid w:val="00B653CA"/>
    <w:rPr>
      <w:rFonts w:ascii="Cambria" w:hAnsi="Cambria"/>
      <w:i/>
      <w:iCs/>
      <w:color w:val="272727"/>
      <w:sz w:val="21"/>
      <w:szCs w:val="21"/>
    </w:rPr>
  </w:style>
  <w:style w:type="paragraph" w:styleId="Bezmezer">
    <w:name w:val="No Spacing"/>
    <w:uiPriority w:val="1"/>
    <w:qFormat/>
    <w:rsid w:val="00E40B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93975">
      <w:bodyDiv w:val="1"/>
      <w:marLeft w:val="0"/>
      <w:marRight w:val="0"/>
      <w:marTop w:val="0"/>
      <w:marBottom w:val="0"/>
      <w:divBdr>
        <w:top w:val="none" w:sz="0" w:space="0" w:color="auto"/>
        <w:left w:val="none" w:sz="0" w:space="0" w:color="auto"/>
        <w:bottom w:val="none" w:sz="0" w:space="0" w:color="auto"/>
        <w:right w:val="none" w:sz="0" w:space="0" w:color="auto"/>
      </w:divBdr>
    </w:div>
    <w:div w:id="167454357">
      <w:bodyDiv w:val="1"/>
      <w:marLeft w:val="0"/>
      <w:marRight w:val="0"/>
      <w:marTop w:val="0"/>
      <w:marBottom w:val="0"/>
      <w:divBdr>
        <w:top w:val="none" w:sz="0" w:space="0" w:color="auto"/>
        <w:left w:val="none" w:sz="0" w:space="0" w:color="auto"/>
        <w:bottom w:val="none" w:sz="0" w:space="0" w:color="auto"/>
        <w:right w:val="none" w:sz="0" w:space="0" w:color="auto"/>
      </w:divBdr>
    </w:div>
    <w:div w:id="173034398">
      <w:bodyDiv w:val="1"/>
      <w:marLeft w:val="0"/>
      <w:marRight w:val="0"/>
      <w:marTop w:val="0"/>
      <w:marBottom w:val="0"/>
      <w:divBdr>
        <w:top w:val="none" w:sz="0" w:space="0" w:color="auto"/>
        <w:left w:val="none" w:sz="0" w:space="0" w:color="auto"/>
        <w:bottom w:val="none" w:sz="0" w:space="0" w:color="auto"/>
        <w:right w:val="none" w:sz="0" w:space="0" w:color="auto"/>
      </w:divBdr>
    </w:div>
    <w:div w:id="744108756">
      <w:bodyDiv w:val="1"/>
      <w:marLeft w:val="0"/>
      <w:marRight w:val="0"/>
      <w:marTop w:val="0"/>
      <w:marBottom w:val="0"/>
      <w:divBdr>
        <w:top w:val="none" w:sz="0" w:space="0" w:color="auto"/>
        <w:left w:val="none" w:sz="0" w:space="0" w:color="auto"/>
        <w:bottom w:val="none" w:sz="0" w:space="0" w:color="auto"/>
        <w:right w:val="none" w:sz="0" w:space="0" w:color="auto"/>
      </w:divBdr>
    </w:div>
    <w:div w:id="166135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madl@vozp.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hovaV\Dod&#225;vka%20hygienick&#253;ch%20pot&#345;eb\P&#345;&#237;loha%20&#269;.%203%20Vzor%20r&#225;mcov&#233;%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F9F36-5F0C-4A21-8C95-28B3BEBF0A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BB6490-A501-40C6-9260-D7A368078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544807A-9AA4-4B5B-9619-E92291E3B65F}">
  <ds:schemaRefs>
    <ds:schemaRef ds:uri="http://schemas.microsoft.com/sharepoint/v3/contenttype/forms"/>
  </ds:schemaRefs>
</ds:datastoreItem>
</file>

<file path=customXml/itemProps4.xml><?xml version="1.0" encoding="utf-8"?>
<ds:datastoreItem xmlns:ds="http://schemas.openxmlformats.org/officeDocument/2006/customXml" ds:itemID="{FE37BA7B-DDC2-42FC-A392-331D11B85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 3 Vzor rámcové smlouvy</Template>
  <TotalTime>256</TotalTime>
  <Pages>9</Pages>
  <Words>3176</Words>
  <Characters>18739</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21872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Máchová Vladimíra</dc:creator>
  <cp:lastModifiedBy>Linhart Jiří Mgr.</cp:lastModifiedBy>
  <cp:revision>261</cp:revision>
  <cp:lastPrinted>2019-11-12T08:54:00Z</cp:lastPrinted>
  <dcterms:created xsi:type="dcterms:W3CDTF">2019-11-11T10:23:00Z</dcterms:created>
  <dcterms:modified xsi:type="dcterms:W3CDTF">2019-12-17T14:54:00Z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_START">
    <vt:lpwstr>š#</vt:lpwstr>
  </property>
  <property fmtid="{D5CDD505-2E9C-101B-9397-08002B2CF9AE}" pid="3" name="OD_EvC">
    <vt:lpwstr>4541/H/2015-HSPH</vt:lpwstr>
  </property>
  <property fmtid="{D5CDD505-2E9C-101B-9397-08002B2CF9AE}" pid="4" name="BARCODE_STOP">
    <vt:lpwstr>@œ</vt:lpwstr>
  </property>
  <property fmtid="{D5CDD505-2E9C-101B-9397-08002B2CF9AE}" pid="5" name="OD_Cj">
    <vt:lpwstr>UZSVM/H/3746/2015-HSPH</vt:lpwstr>
  </property>
  <property fmtid="{D5CDD505-2E9C-101B-9397-08002B2CF9AE}" pid="6" name="Vlastnik">
    <vt:lpwstr>Máchová Vladimíra</vt:lpwstr>
  </property>
  <property fmtid="{D5CDD505-2E9C-101B-9397-08002B2CF9AE}" pid="7" name="Telefon">
    <vt:lpwstr>+420 495 853 205</vt:lpwstr>
  </property>
  <property fmtid="{D5CDD505-2E9C-101B-9397-08002B2CF9AE}" pid="8" name="Fax">
    <vt:lpwstr>5012</vt:lpwstr>
  </property>
  <property fmtid="{D5CDD505-2E9C-101B-9397-08002B2CF9AE}" pid="9" name="Email">
    <vt:lpwstr>Vladimira.Machova@uzsvm.cz</vt:lpwstr>
  </property>
  <property fmtid="{D5CDD505-2E9C-101B-9397-08002B2CF9AE}" pid="10" name="UtvarTxt">
    <vt:lpwstr>oddělení Hospodářské správy</vt:lpwstr>
  </property>
  <property fmtid="{D5CDD505-2E9C-101B-9397-08002B2CF9AE}" pid="11" name="UtvarKod">
    <vt:lpwstr>5012</vt:lpwstr>
  </property>
  <property fmtid="{D5CDD505-2E9C-101B-9397-08002B2CF9AE}" pid="12" name="ExterniCj">
    <vt:lpwstr/>
  </property>
  <property fmtid="{D5CDD505-2E9C-101B-9397-08002B2CF9AE}" pid="13" name="Funkce">
    <vt:lpwstr>Referent</vt:lpwstr>
  </property>
  <property fmtid="{D5CDD505-2E9C-101B-9397-08002B2CF9AE}" pid="14" name="AdresarJmeno">
    <vt:lpwstr>AdresarJmeno</vt:lpwstr>
  </property>
  <property fmtid="{D5CDD505-2E9C-101B-9397-08002B2CF9AE}" pid="15" name="AdresarFirma">
    <vt:lpwstr>AdresarFirma</vt:lpwstr>
  </property>
  <property fmtid="{D5CDD505-2E9C-101B-9397-08002B2CF9AE}" pid="16" name="AdresarUlice">
    <vt:lpwstr>AdresarUlice</vt:lpwstr>
  </property>
  <property fmtid="{D5CDD505-2E9C-101B-9397-08002B2CF9AE}" pid="17" name="AdresarMesto">
    <vt:lpwstr>AdresarMesto</vt:lpwstr>
  </property>
  <property fmtid="{D5CDD505-2E9C-101B-9397-08002B2CF9AE}" pid="18" name="AdresarPSC">
    <vt:lpwstr>AdresarPSC</vt:lpwstr>
  </property>
  <property fmtid="{D5CDD505-2E9C-101B-9397-08002B2CF9AE}" pid="19" name="AdresarStat">
    <vt:lpwstr>AdresarStat</vt:lpwstr>
  </property>
  <property fmtid="{D5CDD505-2E9C-101B-9397-08002B2CF9AE}" pid="20" name="OD_Vec">
    <vt:lpwstr/>
  </property>
  <property fmtid="{D5CDD505-2E9C-101B-9397-08002B2CF9AE}" pid="21" name="AdresaUZSVM">
    <vt:lpwstr>Rašínovo nábřeží 390/42, 128 00 Praha 2</vt:lpwstr>
  </property>
  <property fmtid="{D5CDD505-2E9C-101B-9397-08002B2CF9AE}" pid="22" name="AdresaUP">
    <vt:lpwstr>Horova 180, 502 06 Hradec Králové</vt:lpwstr>
  </property>
  <property fmtid="{D5CDD505-2E9C-101B-9397-08002B2CF9AE}" pid="23" name="PrijatDne">
    <vt:lpwstr/>
  </property>
  <property fmtid="{D5CDD505-2E9C-101B-9397-08002B2CF9AE}" pid="24" name="SchvalenDneNull">
    <vt:lpwstr/>
  </property>
  <property fmtid="{D5CDD505-2E9C-101B-9397-08002B2CF9AE}" pid="25" name="SQL">
    <vt:lpwstr>SELECT  OD_Cj,OD_EvC,OD_BarCode FROM VIEW_OD300_SablonyWordB Where Id = 65304896</vt:lpwstr>
  </property>
  <property fmtid="{D5CDD505-2E9C-101B-9397-08002B2CF9AE}" pid="26" name="NazevUP">
    <vt:lpwstr>Územní pracoviště Hradec Králové, </vt:lpwstr>
  </property>
  <property fmtid="{D5CDD505-2E9C-101B-9397-08002B2CF9AE}" pid="27" name="NazevUZSVM">
    <vt:lpwstr>Úřad pro zastupování státu ve věcech majetkových</vt:lpwstr>
  </property>
  <property fmtid="{D5CDD505-2E9C-101B-9397-08002B2CF9AE}" pid="28" name="NazevOdbor">
    <vt:lpwstr>odbor Hospodářsko správní</vt:lpwstr>
  </property>
  <property fmtid="{D5CDD505-2E9C-101B-9397-08002B2CF9AE}" pid="29" name="AdresaOdbor">
    <vt:lpwstr>,  </vt:lpwstr>
  </property>
  <property fmtid="{D5CDD505-2E9C-101B-9397-08002B2CF9AE}" pid="30" name="VytvorenDne">
    <vt:lpwstr>17.02.2015     </vt:lpwstr>
  </property>
  <property fmtid="{D5CDD505-2E9C-101B-9397-08002B2CF9AE}" pid="31" name="SchvalenDneTecky">
    <vt:lpwstr>....................</vt:lpwstr>
  </property>
  <property fmtid="{D5CDD505-2E9C-101B-9397-08002B2CF9AE}" pid="32" name="UkladaciZnak">
    <vt:lpwstr/>
  </property>
  <property fmtid="{D5CDD505-2E9C-101B-9397-08002B2CF9AE}" pid="33" name="SkartacniZnak">
    <vt:lpwstr> </vt:lpwstr>
  </property>
  <property fmtid="{D5CDD505-2E9C-101B-9397-08002B2CF9AE}" pid="34" name="SkartacniLhuta">
    <vt:lpwstr>0</vt:lpwstr>
  </property>
  <property fmtid="{D5CDD505-2E9C-101B-9397-08002B2CF9AE}" pid="35" name="SchvalilEmail">
    <vt:lpwstr>SchvalilEmail</vt:lpwstr>
  </property>
  <property fmtid="{D5CDD505-2E9C-101B-9397-08002B2CF9AE}" pid="36" name="SchvalilFunkce">
    <vt:lpwstr/>
  </property>
  <property fmtid="{D5CDD505-2E9C-101B-9397-08002B2CF9AE}" pid="37" name="SchvalilTelefon">
    <vt:lpwstr/>
  </property>
  <property fmtid="{D5CDD505-2E9C-101B-9397-08002B2CF9AE}" pid="38" name="SchvalilFax">
    <vt:lpwstr/>
  </property>
  <property fmtid="{D5CDD505-2E9C-101B-9397-08002B2CF9AE}" pid="39" name="Schvalil">
    <vt:lpwstr/>
  </property>
  <property fmtid="{D5CDD505-2E9C-101B-9397-08002B2CF9AE}" pid="40" name="Spis">
    <vt:lpwstr/>
  </property>
  <property fmtid="{D5CDD505-2E9C-101B-9397-08002B2CF9AE}" pid="41" name="OD_BarCode">
    <vt:lpwstr>µ#4541/H/2015-HSPH@§¸</vt:lpwstr>
  </property>
  <property fmtid="{D5CDD505-2E9C-101B-9397-08002B2CF9AE}" pid="42" name="Listu">
    <vt:lpwstr>Listu</vt:lpwstr>
  </property>
  <property fmtid="{D5CDD505-2E9C-101B-9397-08002B2CF9AE}" pid="43" name="Prilohy">
    <vt:lpwstr>Prilohy</vt:lpwstr>
  </property>
  <property fmtid="{D5CDD505-2E9C-101B-9397-08002B2CF9AE}" pid="44" name="CisloFa">
    <vt:lpwstr/>
  </property>
  <property fmtid="{D5CDD505-2E9C-101B-9397-08002B2CF9AE}" pid="45" name="Poznamka">
    <vt:lpwstr>Poznamka</vt:lpwstr>
  </property>
  <property fmtid="{D5CDD505-2E9C-101B-9397-08002B2CF9AE}" pid="46" name="Utvar">
    <vt:lpwstr>Utvar</vt:lpwstr>
  </property>
  <property fmtid="{D5CDD505-2E9C-101B-9397-08002B2CF9AE}" pid="47" name="PodatelnaNazev">
    <vt:lpwstr>PodatelnaNazev</vt:lpwstr>
  </property>
  <property fmtid="{D5CDD505-2E9C-101B-9397-08002B2CF9AE}" pid="48" name="Odesilatel">
    <vt:lpwstr>Odesilatel</vt:lpwstr>
  </property>
  <property fmtid="{D5CDD505-2E9C-101B-9397-08002B2CF9AE}" pid="49" name="StatusName">
    <vt:lpwstr>StatusName</vt:lpwstr>
  </property>
  <property fmtid="{D5CDD505-2E9C-101B-9397-08002B2CF9AE}" pid="50" name="CisloKdf">
    <vt:lpwstr>CisloKdf</vt:lpwstr>
  </property>
  <property fmtid="{D5CDD505-2E9C-101B-9397-08002B2CF9AE}" pid="51" name="SpravceRozpoctuTxt">
    <vt:lpwstr>SpravceRozpoctuTxt</vt:lpwstr>
  </property>
  <property fmtid="{D5CDD505-2E9C-101B-9397-08002B2CF9AE}" pid="52" name="HlavniUcetniTxt">
    <vt:lpwstr>HlavniUcetniTxt</vt:lpwstr>
  </property>
  <property fmtid="{D5CDD505-2E9C-101B-9397-08002B2CF9AE}" pid="53" name="Ucet1">
    <vt:lpwstr>Ucet1</vt:lpwstr>
  </property>
  <property fmtid="{D5CDD505-2E9C-101B-9397-08002B2CF9AE}" pid="54" name="Ucet2">
    <vt:lpwstr>Ucet2</vt:lpwstr>
  </property>
  <property fmtid="{D5CDD505-2E9C-101B-9397-08002B2CF9AE}" pid="55" name="Ucet3">
    <vt:lpwstr>Ucet3</vt:lpwstr>
  </property>
  <property fmtid="{D5CDD505-2E9C-101B-9397-08002B2CF9AE}" pid="56" name="Ucet4">
    <vt:lpwstr>Ucet4</vt:lpwstr>
  </property>
  <property fmtid="{D5CDD505-2E9C-101B-9397-08002B2CF9AE}" pid="57" name="ContentTypeId">
    <vt:lpwstr>0x0101005A57419E2235C749B61ABD2575BC4DDA</vt:lpwstr>
  </property>
</Properties>
</file>